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widowControl/>
      </w:pPr>
      <mc:AlternateContent>
        <mc:Choice Requires="wpsCustomData">
          <wpsCustomData:docfieldStart id="0" docfieldname="附件_1" hidden="0" print="1" readonly="0" index="1"/>
        </mc:Choice>
      </mc:AlternateContent>
      <w:r>
        <w:t>附件11</w:t>
      </w:r>
    </w:p>
    <w:p/>
    <mc:AlternateContent>
      <mc:Choice Requires="wpsCustomData">
        <wpsCustomData:docfieldEnd id="0"/>
      </mc:Choice>
    </mc:AlternateContent>
    <w:p>
      <w:pPr>
        <w:pStyle w:val="2"/>
      </w:pPr>
    </w:p>
    <w:p>
      <w:pPr>
        <w:pStyle w:val="18"/>
        <w:widowControl/>
      </w:pPr>
      <mc:AlternateContent>
        <mc:Choice Requires="wpsCustomData">
          <wpsCustomData:docfieldStart id="1" docfieldname="FJ_1" hidden="0" print="1" readonly="0" index="2"/>
        </mc:Choice>
      </mc:AlternateContent>
      <w:r>
        <w:t>柳州市林产加工及纸业产业</w:t>
      </w:r>
      <w:r>
        <w:br w:type="textWrapping"/>
      </w:r>
      <w:r>
        <w:t>高质量发展三年行动方案</w:t>
      </w:r>
    </w:p>
    <mc:AlternateContent>
      <mc:Choice Requires="wpsCustomData">
        <wpsCustomData:docfieldEnd id="1"/>
      </mc:Choice>
    </mc:AlternateContent>
    <w:p>
      <w:pPr>
        <w:pStyle w:val="17"/>
      </w:pPr>
      <w:r>
        <w:t>（2026－2028年）</w:t>
      </w:r>
    </w:p>
    <w:p>
      <w:pPr>
        <w:spacing w:line="316" w:lineRule="auto"/>
        <w:rPr>
          <w:rFonts w:ascii="Arial"/>
          <w:sz w:val="21"/>
        </w:rPr>
      </w:pPr>
    </w:p>
    <w:p>
      <w:pPr>
        <w:spacing w:line="317" w:lineRule="auto"/>
        <w:rPr>
          <w:rFonts w:ascii="Arial"/>
          <w:sz w:val="21"/>
        </w:rPr>
      </w:pPr>
    </w:p>
    <w:p>
      <w:pPr>
        <w:pStyle w:val="5"/>
        <w:widowControl/>
        <w:numPr>
          <w:ilvl w:val="0"/>
          <w:numId w:val="0"/>
        </w:numPr>
        <w:topLinePunct w:val="0"/>
        <w:ind w:left="0" w:leftChars="0" w:firstLine="640"/>
        <w:rPr>
          <w:b w:val="0"/>
        </w:rPr>
      </w:pPr>
      <w:r>
        <w:rPr>
          <w:rFonts w:hint="eastAsia"/>
          <w:lang w:eastAsia="zh-CN"/>
        </w:rPr>
        <w:t>一、</w:t>
      </w:r>
      <w:r>
        <w:t>发展思路</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（一）</w:t>
      </w:r>
      <w:r>
        <w:t>指导思想</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b w:val="0"/>
          <w:color w:val="auto"/>
          <w:sz w:val="32"/>
          <w:szCs w:val="32"/>
        </w:rPr>
        <w:t>以习近平新时代中国特色社会主义思想为指导，深入贯彻党的二十大、二十届历次全会和中央、全区、全市经济工作会议精神，深入贯彻落实习近平总书记关于制造强国和新型工业化的重要论述，解放思想、创新求变，向海图强、开放发展，坚持实干为要、创新为魂，用业绩说话、让人民评价，紧紧围绕自治区赋予的“四大定位”和交给的“四项任务”，守正笃行、创新蝶变，锚定加快推进新型工业化、发展新质生产力、建设制造强市战略目标，紧扣智能化、绿色化、融合化方向，深入开展传统产业焕新、新兴产业壮大“三年行动”，</w:t>
      </w:r>
      <w:r>
        <w:rPr>
          <w:rFonts w:ascii="Times New Roman" w:hAnsi="Times New Roman" w:eastAsia="仿宋_GB2312" w:cs="仿宋_GB2312"/>
          <w:color w:val="auto"/>
          <w:sz w:val="32"/>
          <w:szCs w:val="32"/>
        </w:rPr>
        <w:t>依托林木资源和面向东盟优势，优化产业布局和产品结构，发挥龙头企业引领作用，</w:t>
      </w:r>
      <w:r>
        <w:rPr>
          <w:rFonts w:ascii="Times New Roman" w:hAnsi="Times New Roman" w:eastAsia="仿宋_GB2312" w:cs="仿宋_GB2312"/>
          <w:b w:val="0"/>
          <w:color w:val="auto"/>
          <w:sz w:val="32"/>
          <w:szCs w:val="32"/>
        </w:rPr>
        <w:t>推动产业向高端板材、智能家具、定制家居延伸</w:t>
      </w:r>
      <w:r>
        <w:rPr>
          <w:rFonts w:ascii="Times New Roman" w:hAnsi="Times New Roman" w:eastAsia="仿宋_GB2312" w:cs="仿宋_GB2312"/>
          <w:color w:val="auto"/>
          <w:sz w:val="32"/>
          <w:szCs w:val="32"/>
        </w:rPr>
        <w:t>，深化跨区域跨境产业链供应链合作，着力构建布局合理、全产业链协同发展、辐射全国和东盟的产业发展格局。</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（二）</w:t>
      </w:r>
      <w:r>
        <w:t>重点发展方向</w:t>
      </w:r>
    </w:p>
    <w:p>
      <w:pPr>
        <w:pStyle w:val="14"/>
        <w:numPr>
          <w:ilvl w:val="0"/>
          <w:numId w:val="0"/>
        </w:numPr>
        <w:ind w:left="0" w:leftChars="0" w:firstLine="616"/>
        <w:rPr>
          <w:rFonts w:ascii="Times New Roman" w:hAnsi="Times New Roman" w:eastAsia="仿宋_GB2312" w:cs="仿宋_GB2312"/>
          <w:b w:val="0"/>
          <w:bCs w:val="0"/>
          <w:color w:val="auto"/>
          <w:sz w:val="32"/>
          <w:szCs w:val="32"/>
        </w:rPr>
      </w:pPr>
      <w:r>
        <w:rPr>
          <w:rStyle w:val="25"/>
          <w:rFonts w:hint="eastAsia"/>
          <w:b w:val="0"/>
          <w:bCs w:val="0"/>
          <w:lang w:eastAsia="zh-CN"/>
        </w:rPr>
        <w:t>1.</w:t>
      </w:r>
      <w:r>
        <w:rPr>
          <w:rStyle w:val="25"/>
          <w:b w:val="0"/>
          <w:bCs w:val="0"/>
        </w:rPr>
        <w:t>做强优势高端板材</w:t>
      </w:r>
      <w:r>
        <w:rPr>
          <w:rFonts w:ascii="Times New Roman" w:hAnsi="Times New Roman" w:eastAsia="仿宋_GB2312" w:cs="仿宋_GB2312"/>
          <w:b w:val="0"/>
          <w:bCs w:val="0"/>
          <w:color w:val="auto"/>
          <w:sz w:val="32"/>
          <w:szCs w:val="32"/>
        </w:rPr>
        <w:t>。一是聚焦香杉资源优势，打造高端实木品牌。立足我市丰富的香杉资源优势，支持企业从原材料初加工向品牌化精深加工转变，重点发展适用于高档实木家具、整木家装的高附加值香杉实木规格板材，打响“柳州香杉”高端品牌。二是以绿色环保为核心，巩固传统板材基材优势。针对细木工板和多层板等传统优势产品，推行无醛添加胶黏剂等环保技术改造，全面提升产品环保等级（E0级、ENF级）与物理性能，巩固其在高端家具制造和室内装饰领域的基材优势。</w:t>
      </w:r>
    </w:p>
    <w:p>
      <w:pPr>
        <w:pStyle w:val="14"/>
        <w:numPr>
          <w:ilvl w:val="0"/>
          <w:numId w:val="0"/>
        </w:numPr>
        <w:ind w:left="0" w:leftChars="0" w:firstLine="616"/>
        <w:rPr>
          <w:rFonts w:ascii="Times New Roman" w:hAnsi="Times New Roman" w:eastAsia="仿宋_GB2312" w:cs="仿宋_GB2312"/>
          <w:b w:val="0"/>
          <w:bCs w:val="0"/>
          <w:color w:val="auto"/>
          <w:sz w:val="32"/>
          <w:szCs w:val="32"/>
        </w:rPr>
      </w:pPr>
      <w:r>
        <w:rPr>
          <w:rStyle w:val="25"/>
          <w:rFonts w:hint="eastAsia"/>
          <w:b w:val="0"/>
          <w:bCs w:val="0"/>
          <w:lang w:eastAsia="zh-CN"/>
        </w:rPr>
        <w:t>2.</w:t>
      </w:r>
      <w:r>
        <w:rPr>
          <w:rStyle w:val="25"/>
          <w:b w:val="0"/>
          <w:bCs w:val="0"/>
        </w:rPr>
        <w:t>发展壮大绿色家居</w:t>
      </w:r>
      <w:r>
        <w:rPr>
          <w:rFonts w:ascii="Times New Roman" w:hAnsi="Times New Roman" w:eastAsia="仿宋_GB2312" w:cs="仿宋_GB2312"/>
          <w:b w:val="0"/>
          <w:bCs w:val="0"/>
          <w:color w:val="auto"/>
          <w:sz w:val="32"/>
          <w:szCs w:val="32"/>
        </w:rPr>
        <w:t>。一是发展全屋定制，实现从产品制造向空间解决方案的升级。鼓励企业依托柳州高品质环保板材优势，从单一板材制造向集设计、生产、安装于一体的全屋空间解决方案提供商转变，深度融合美学设计与消费者个性化需求，打造绿色、健康、功能一体的居住空间。二是前瞻布局智能家居，促进家居家电一体化融合发展。支持企业研发嵌入式智能模块的家具产品，推动智慧照明、环境监测、节能控制等绿色智能技术在家居场景中的集成应用；主动加强与家电、物联网企业的跨界合作，共同开发场景化、系统化的智能家居解决方案，抢占“家居—家电—科技”融合新赛道。</w:t>
      </w:r>
    </w:p>
    <w:p>
      <w:pPr>
        <w:pStyle w:val="14"/>
        <w:numPr>
          <w:ilvl w:val="0"/>
          <w:numId w:val="0"/>
        </w:numPr>
        <w:ind w:left="0" w:leftChars="0" w:firstLine="616"/>
        <w:rPr>
          <w:rFonts w:ascii="Times New Roman" w:hAnsi="Times New Roman" w:eastAsia="仿宋_GB2312" w:cs="仿宋_GB2312"/>
          <w:b w:val="0"/>
          <w:bCs w:val="0"/>
          <w:color w:val="auto"/>
          <w:sz w:val="32"/>
          <w:szCs w:val="32"/>
        </w:rPr>
      </w:pPr>
      <w:r>
        <w:rPr>
          <w:rStyle w:val="25"/>
          <w:rFonts w:hint="eastAsia"/>
          <w:b w:val="0"/>
          <w:bCs w:val="0"/>
          <w:lang w:eastAsia="zh-CN"/>
        </w:rPr>
        <w:t>3.</w:t>
      </w:r>
      <w:r>
        <w:rPr>
          <w:rStyle w:val="25"/>
          <w:b w:val="0"/>
          <w:bCs w:val="0"/>
        </w:rPr>
        <w:t>发展以竹代塑特色产业</w:t>
      </w:r>
      <w:r>
        <w:rPr>
          <w:rFonts w:ascii="Times New Roman" w:hAnsi="Times New Roman" w:eastAsia="仿宋_GB2312" w:cs="仿宋_GB2312"/>
          <w:b w:val="0"/>
          <w:bCs w:val="0"/>
          <w:color w:val="auto"/>
          <w:sz w:val="32"/>
          <w:szCs w:val="32"/>
        </w:rPr>
        <w:t>。一是聚焦竹纤维提取与功能化利用，提升竹基新材料附加值。重点推动竹纤维在工业生产、建筑建材、家居用品等领域的规模化应用。紧密结合柳州汽车产业优势，积极拓展竹纤维在汽车内饰部件中的创新应用，重点开发适用于汽车门饰板、仪表盘骨架、座椅背板、竹车厢板等部件的竹基复合材料，推动“以竹代塑”与汽车轻量化、绿色化转型深度融合。二是做强特色竹工艺品与日用替代品。在巩固衣架、拖鞋、碗筷杯盏等传统竹木制品基础上，重点开发竹制文创礼品、民族风情工艺摆件、竹制玩具、竹制收纳与家居装饰用品等高附加值产品，推动设计、制造、品牌和电商营销一体化发展。三是延伸竹产业链条，构建多元融合的竹木经济新体系。重点发展竹缠绕复合材料，适度发展竹木结构建筑、园林景观和文旅设施，推动竹木材料在市政设施、建筑、景观、文旅等多场景创新应用，形成“竹林培育—原竹加工—竹纤维与制品—竹基复合材料与工艺品—文旅应用”的全产业链条，打造结构合理、绿色低碳、融合发展的竹木制品产业体系。</w:t>
      </w:r>
    </w:p>
    <w:p>
      <w:pPr>
        <w:pStyle w:val="14"/>
        <w:numPr>
          <w:ilvl w:val="0"/>
          <w:numId w:val="0"/>
        </w:numPr>
        <w:ind w:left="0" w:leftChars="0" w:firstLine="616"/>
        <w:rPr>
          <w:rFonts w:ascii="Times New Roman" w:hAnsi="Times New Roman" w:eastAsia="仿宋_GB2312" w:cs="仿宋_GB2312"/>
          <w:b w:val="0"/>
          <w:bCs w:val="0"/>
          <w:sz w:val="32"/>
          <w:szCs w:val="32"/>
        </w:rPr>
      </w:pPr>
      <w:r>
        <w:rPr>
          <w:rStyle w:val="25"/>
          <w:rFonts w:hint="eastAsia"/>
          <w:b w:val="0"/>
          <w:bCs w:val="0"/>
          <w:lang w:eastAsia="zh-CN"/>
        </w:rPr>
        <w:t>4.</w:t>
      </w:r>
      <w:r>
        <w:rPr>
          <w:rStyle w:val="25"/>
          <w:b w:val="0"/>
          <w:bCs w:val="0"/>
        </w:rPr>
        <w:t>优化升级造纸及纸制品</w:t>
      </w:r>
      <w:r>
        <w:rPr>
          <w:rFonts w:ascii="Times New Roman" w:hAnsi="Times New Roman" w:eastAsia="仿宋_GB2312" w:cs="仿宋_GB2312"/>
          <w:b w:val="0"/>
          <w:bCs w:val="0"/>
          <w:color w:val="auto"/>
          <w:sz w:val="32"/>
          <w:szCs w:val="32"/>
        </w:rPr>
        <w:t>。一是优化特种纸供给结构，发展高附加值、高性能特种纸产品。重点培育一批以特种纸为主导的规模企业，聚焦提升产品的专用性、适配性与工艺精度，打造品类丰富、品质高端、绿色环保的特种纸品牌矩阵，持续提升本地市场占有率及周边区域辐射带动能力。二是发展纸尿裤等特殊用途纸品，培育功能化中高端纸制品产业。围绕婴幼儿、女性护理、成人失能照护等细分需求，大力发展纸尿裤、护理垫、医用及个护擦拭材料等特殊用途纸制品，完善质量追溯与卫生安全控制体系，打造一批具有技术优势和品牌影响力的功能性纸品企业集群。三是做大做强包装用纸及包材产业。构建废纸回收、再生纸制造与包装用纸生产一体化循环产业链，引导企业将发展重心放在包装用纸板、纸箱、纸盒等领域，支持企业围绕快递、电商、生鲜冷链、装备制造等场景开发高强度、高耐破、轻量化包装纸及配套纸制包材；鼓励应用功能性涂布和复合技术，提升快递包装用纸韧性、强度与耐潮性能，提高包装用纸可回收性和重复利用率，以再生纸制品助力塑料包装减量替代，推动产业绿色循环高质量发展。</w:t>
      </w:r>
    </w:p>
    <w:p>
      <w:pPr>
        <w:pStyle w:val="5"/>
        <w:widowControl/>
        <w:numPr>
          <w:ilvl w:val="0"/>
          <w:numId w:val="0"/>
        </w:numPr>
        <w:topLinePunct w:val="0"/>
        <w:ind w:left="0" w:leftChars="0" w:firstLine="640"/>
        <w:rPr>
          <w:b w:val="0"/>
        </w:rPr>
      </w:pPr>
      <w:r>
        <w:rPr>
          <w:rFonts w:hint="eastAsia"/>
          <w:lang w:eastAsia="zh-CN"/>
        </w:rPr>
        <w:t>二、</w:t>
      </w:r>
      <w:r>
        <w:t>发展目标</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highlight w:val="none"/>
        </w:rPr>
        <w:t>林产加工及纸业产业要坚持“长期筑势、中期攻坚、近期提效、梯次推进产业转型升级”发展思路。筑牢木材加工与家具家居支柱产业，壮大“以竹代塑”新兴产业链，提升高端造纸发展能级，补齐林产装备及配套产业短板，打响“柳州香杉”区域品牌，全力打造广西林产加工及纸业产业高质量发展核心集聚区与特色产业集群，构建“林板家”一体化、竹基材料高端化、产业发展智能化的发展新格局。力争到2028年产值突破270亿元，到2030年产值突破300亿元。</w:t>
      </w:r>
    </w:p>
    <w:p>
      <w:pPr>
        <w:pStyle w:val="5"/>
        <w:widowControl/>
        <w:numPr>
          <w:ilvl w:val="0"/>
          <w:numId w:val="0"/>
        </w:numPr>
        <w:topLinePunct w:val="0"/>
        <w:ind w:left="0" w:leftChars="0" w:firstLine="640"/>
        <w:rPr>
          <w:b w:val="0"/>
        </w:rPr>
      </w:pPr>
      <w:r>
        <w:rPr>
          <w:rFonts w:hint="eastAsia"/>
          <w:lang w:eastAsia="zh-CN"/>
        </w:rPr>
        <w:t>三、</w:t>
      </w:r>
      <w:r>
        <w:t>主要任务</w:t>
      </w:r>
    </w:p>
    <w:p>
      <w:pPr>
        <w:pStyle w:val="6"/>
        <w:numPr>
          <w:ilvl w:val="0"/>
          <w:numId w:val="0"/>
        </w:numPr>
        <w:topLinePunct w:val="0"/>
        <w:ind w:left="0" w:leftChars="0" w:firstLine="640"/>
        <w:rPr>
          <w:rFonts w:hint="eastAsia" w:ascii="楷体_GB2312" w:hAnsi="楷体_GB2312" w:eastAsia="楷体_GB2312" w:cs="楷体_GB2312"/>
          <w:b w:val="0"/>
        </w:rPr>
      </w:pPr>
      <w:r>
        <w:rPr>
          <w:rFonts w:hint="eastAsia"/>
          <w:lang w:eastAsia="zh-CN"/>
        </w:rPr>
        <w:t>（一）</w:t>
      </w:r>
      <w:r>
        <w:t>优化产业空间布局</w:t>
      </w:r>
    </w:p>
    <w:p>
      <w:pPr>
        <w:pStyle w:val="14"/>
        <w:rPr>
          <w:rFonts w:ascii="Times New Roman" w:hAnsi="Times New Roman" w:eastAsia="仿宋_GB2312" w:cs="仿宋_GB2312"/>
          <w:b w:val="0"/>
          <w:color w:val="auto"/>
          <w:sz w:val="32"/>
          <w:szCs w:val="32"/>
          <w:highlight w:val="none"/>
        </w:rPr>
      </w:pPr>
      <w:r>
        <w:rPr>
          <w:rStyle w:val="25"/>
        </w:rPr>
        <w:t>1.明确区域发展重点</w:t>
      </w:r>
      <w:r>
        <w:rPr>
          <w:rFonts w:ascii="Times New Roman" w:hAnsi="Times New Roman" w:eastAsia="仿宋_GB2312" w:cs="仿宋_GB2312"/>
          <w:b/>
          <w:color w:val="auto"/>
          <w:sz w:val="32"/>
          <w:szCs w:val="32"/>
          <w:highlight w:val="none"/>
        </w:rPr>
        <w:t>。</w:t>
      </w:r>
      <w:r>
        <w:rPr>
          <w:rFonts w:ascii="Times New Roman" w:hAnsi="Times New Roman" w:eastAsia="仿宋_GB2312" w:cs="仿宋_GB2312"/>
          <w:b w:val="0"/>
          <w:color w:val="auto"/>
          <w:sz w:val="32"/>
          <w:szCs w:val="32"/>
          <w:highlight w:val="none"/>
        </w:rPr>
        <w:t>支持鹿寨建设高端绿色家居集群，特种纸制造中心，完善“旋切单板—板材—高端家居”链条，建设智慧林业零碳循环产业园，推进桉木改性与数智化交易。支持在柳城发展桉木精深加工和林业机械智能制造集群，大力发展中高端木材加工、高端板材。支持在融安融水打造香杉生态板和智能家居基材基地，塑造公共区域品牌，建设全国香杉全产业链标杆。支持在三江打造竹资源综合利用基地，延伸“竹纤维—汽车内饰—环保材料”链条，扩展与汽车产业融合新赛道，</w:t>
      </w:r>
      <w:r>
        <w:rPr>
          <w:rFonts w:ascii="Times New Roman" w:hAnsi="Times New Roman" w:eastAsia="仿宋_GB2312" w:cs="仿宋_GB2312"/>
          <w:color w:val="auto"/>
          <w:sz w:val="32"/>
          <w:szCs w:val="32"/>
          <w:highlight w:val="none"/>
        </w:rPr>
        <w:t>构建重点突出、特色鲜明的产业发展布局。（牵头单位：市工业和信息化局，林业和园林局；配合单位：市自然资源和规划局、园区办、市场监督管理局，各县（区）人民政府、新区管委会。）</w:t>
      </w:r>
    </w:p>
    <w:p>
      <w:pPr>
        <w:pStyle w:val="6"/>
        <w:numPr>
          <w:ilvl w:val="0"/>
          <w:numId w:val="0"/>
        </w:numPr>
        <w:topLinePunct w:val="0"/>
        <w:ind w:left="0" w:leftChars="0" w:firstLine="640"/>
        <w:rPr>
          <w:rFonts w:hint="eastAsia" w:ascii="楷体_GB2312" w:hAnsi="楷体_GB2312" w:eastAsia="楷体_GB2312" w:cs="楷体_GB2312"/>
          <w:b w:val="0"/>
          <w:highlight w:val="none"/>
        </w:rPr>
      </w:pPr>
      <w:r>
        <w:rPr>
          <w:rFonts w:hint="eastAsia"/>
          <w:highlight w:val="none"/>
          <w:lang w:eastAsia="zh-CN"/>
        </w:rPr>
        <w:t>（二）</w:t>
      </w:r>
      <w:r>
        <w:rPr>
          <w:highlight w:val="none"/>
        </w:rPr>
        <w:t>推动产业链转型升级</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5"/>
          <w:rFonts w:hint="eastAsia"/>
          <w:lang w:eastAsia="zh-CN"/>
        </w:rPr>
        <w:t>2.</w:t>
      </w:r>
      <w:r>
        <w:rPr>
          <w:rStyle w:val="25"/>
        </w:rPr>
        <w:t>推动人造板产业向高端发展</w:t>
      </w:r>
      <w:r>
        <w:rPr>
          <w:rStyle w:val="21"/>
          <w:rFonts w:ascii="Times New Roman" w:hAnsi="Times New Roman" w:eastAsia="仿宋_GB2312" w:cs="仿宋_GB2312"/>
          <w:b/>
          <w:color w:val="auto"/>
          <w:sz w:val="32"/>
          <w:szCs w:val="32"/>
        </w:rPr>
        <w:t>。</w:t>
      </w:r>
      <w:r>
        <w:rPr>
          <w:rFonts w:ascii="Times New Roman" w:hAnsi="Times New Roman" w:eastAsia="仿宋_GB2312" w:cs="仿宋_GB2312"/>
          <w:b w:val="0"/>
          <w:color w:val="auto"/>
          <w:sz w:val="32"/>
          <w:szCs w:val="32"/>
        </w:rPr>
        <w:t>聚焦新产品、新工艺、新材料研发，不断进行产品迭代。</w:t>
      </w:r>
      <w:r>
        <w:rPr>
          <w:rFonts w:ascii="Times New Roman" w:hAnsi="Times New Roman" w:eastAsia="仿宋_GB2312" w:cs="仿宋_GB2312"/>
          <w:color w:val="auto"/>
          <w:sz w:val="32"/>
          <w:szCs w:val="32"/>
        </w:rPr>
        <w:t>支持人造板企业加强技术改造，引进连续平压等先进设备，不断提升产品质量，支持</w:t>
      </w:r>
      <w:r>
        <w:rPr>
          <w:rFonts w:ascii="Times New Roman" w:hAnsi="Times New Roman" w:eastAsia="仿宋_GB2312" w:cs="仿宋_GB2312"/>
          <w:b w:val="0"/>
          <w:color w:val="auto"/>
          <w:sz w:val="32"/>
          <w:szCs w:val="32"/>
        </w:rPr>
        <w:t>使用无醛胶粘剂或低醛释放量胶粘剂，生产无醛或E0级、ENF级板材</w:t>
      </w:r>
      <w:r>
        <w:rPr>
          <w:rFonts w:ascii="Times New Roman" w:hAnsi="Times New Roman" w:eastAsia="仿宋_GB2312" w:cs="仿宋_GB2312"/>
          <w:color w:val="auto"/>
          <w:sz w:val="32"/>
          <w:szCs w:val="32"/>
        </w:rPr>
        <w:t>，推进产品质量与国际、国内领先标准接轨，满足消费升级和多样化需求。（牵头单位：市工业和信息化局，科技局；配合单位：市林业和园林局，市市场监督管理局，</w:t>
      </w:r>
      <w:r>
        <w:rPr>
          <w:rFonts w:ascii="Times New Roman" w:hAnsi="Times New Roman" w:eastAsia="仿宋_GB2312" w:cs="仿宋_GB2312"/>
          <w:color w:val="auto"/>
          <w:sz w:val="32"/>
          <w:szCs w:val="32"/>
          <w:highlight w:val="none"/>
        </w:rPr>
        <w:t>各县（区）人民政府、新区管委会</w:t>
      </w:r>
      <w:r>
        <w:rPr>
          <w:rFonts w:ascii="Times New Roman" w:hAnsi="Times New Roman" w:eastAsia="仿宋_GB2312" w:cs="仿宋_GB2312"/>
          <w:color w:val="auto"/>
          <w:sz w:val="32"/>
          <w:szCs w:val="32"/>
        </w:rPr>
        <w:t>）</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5"/>
          <w:rFonts w:hint="eastAsia"/>
          <w:lang w:eastAsia="zh-CN"/>
        </w:rPr>
        <w:t>3.</w:t>
      </w:r>
      <w:r>
        <w:rPr>
          <w:rStyle w:val="25"/>
        </w:rPr>
        <w:t>推动产业向智能家具、定制家居延伸</w:t>
      </w:r>
      <w:r>
        <w:rPr>
          <w:rFonts w:ascii="Times New Roman" w:hAnsi="Times New Roman" w:eastAsia="仿宋_GB2312" w:cs="仿宋_GB2312"/>
          <w:b/>
          <w:color w:val="auto"/>
          <w:sz w:val="32"/>
          <w:szCs w:val="32"/>
        </w:rPr>
        <w:t>。</w:t>
      </w:r>
      <w:r>
        <w:rPr>
          <w:rFonts w:ascii="Times New Roman" w:hAnsi="Times New Roman" w:eastAsia="仿宋_GB2312" w:cs="仿宋_GB2312"/>
          <w:b w:val="0"/>
          <w:color w:val="auto"/>
          <w:sz w:val="32"/>
          <w:szCs w:val="32"/>
        </w:rPr>
        <w:t>支持</w:t>
      </w:r>
      <w:r>
        <w:rPr>
          <w:rFonts w:ascii="Times New Roman" w:hAnsi="Times New Roman" w:eastAsia="仿宋_GB2312" w:cs="仿宋_GB2312"/>
          <w:color w:val="auto"/>
          <w:sz w:val="32"/>
          <w:szCs w:val="32"/>
        </w:rPr>
        <w:t>现有家具家居重点企业做大做强，</w:t>
      </w:r>
      <w:r>
        <w:rPr>
          <w:rFonts w:ascii="Times New Roman" w:hAnsi="Times New Roman" w:eastAsia="仿宋_GB2312" w:cs="仿宋_GB2312"/>
          <w:b w:val="0"/>
          <w:color w:val="auto"/>
          <w:sz w:val="32"/>
          <w:szCs w:val="32"/>
        </w:rPr>
        <w:t>逐步布局高端定制、全屋定制、整体家居等终端领域，</w:t>
      </w:r>
      <w:r>
        <w:rPr>
          <w:rFonts w:ascii="Times New Roman" w:hAnsi="Times New Roman" w:eastAsia="仿宋_GB2312" w:cs="仿宋_GB2312"/>
          <w:color w:val="auto"/>
          <w:sz w:val="32"/>
          <w:szCs w:val="32"/>
        </w:rPr>
        <w:t>主动对接大湾区、长三角地区，积极承接产业转移，重点引进定制家居、功能型家具、智能家居、木地板、木门企业等。</w:t>
      </w:r>
      <w:r>
        <w:rPr>
          <w:rFonts w:ascii="Times New Roman" w:hAnsi="Times New Roman" w:eastAsia="仿宋_GB2312" w:cs="仿宋_GB2312"/>
          <w:b w:val="0"/>
          <w:color w:val="auto"/>
          <w:sz w:val="32"/>
          <w:szCs w:val="32"/>
        </w:rPr>
        <w:t>支持龙头企业和其他人造板企业加快人体工学、人工智能技术应用</w:t>
      </w:r>
      <w:r>
        <w:rPr>
          <w:rFonts w:ascii="Times New Roman" w:hAnsi="Times New Roman" w:eastAsia="仿宋_GB2312" w:cs="仿宋_GB2312"/>
          <w:color w:val="auto"/>
          <w:sz w:val="32"/>
          <w:szCs w:val="32"/>
        </w:rPr>
        <w:t>，推动产业链条延伸，生产高端家具家居产品。（牵头单位：市投促局，林业和园林局；配合单位：市工业和信息化局、各县（区）人民政府、新区管委会）</w:t>
      </w:r>
    </w:p>
    <w:p>
      <w:pPr>
        <w:pStyle w:val="14"/>
        <w:numPr>
          <w:ilvl w:val="0"/>
          <w:numId w:val="0"/>
        </w:numPr>
        <w:ind w:left="0" w:leftChars="0" w:firstLine="616"/>
        <w:rPr>
          <w:rFonts w:ascii="Times New Roman" w:hAnsi="Times New Roman" w:eastAsia="仿宋_GB2312" w:cs="仿宋_GB2312"/>
          <w:b w:val="0"/>
          <w:color w:val="auto"/>
          <w:sz w:val="32"/>
          <w:szCs w:val="32"/>
        </w:rPr>
      </w:pPr>
      <w:r>
        <w:rPr>
          <w:rStyle w:val="25"/>
          <w:rFonts w:hint="eastAsia"/>
          <w:lang w:eastAsia="zh-CN"/>
        </w:rPr>
        <w:t>4.</w:t>
      </w:r>
      <w:r>
        <w:rPr>
          <w:rStyle w:val="25"/>
        </w:rPr>
        <w:t>完善林产加工及纸业产业配套</w:t>
      </w:r>
      <w:r>
        <w:rPr>
          <w:rFonts w:ascii="Times New Roman" w:hAnsi="Times New Roman" w:eastAsia="仿宋_GB2312" w:cs="仿宋_GB2312"/>
          <w:b/>
          <w:color w:val="auto"/>
          <w:sz w:val="32"/>
          <w:szCs w:val="32"/>
        </w:rPr>
        <w:t>。</w:t>
      </w:r>
      <w:r>
        <w:rPr>
          <w:rFonts w:ascii="Times New Roman" w:hAnsi="Times New Roman" w:eastAsia="仿宋_GB2312" w:cs="仿宋_GB2312"/>
          <w:b w:val="0"/>
          <w:color w:val="auto"/>
          <w:sz w:val="32"/>
          <w:szCs w:val="32"/>
        </w:rPr>
        <w:t>培育发展产业链配套企业，支持龙头企业发展配套产品</w:t>
      </w:r>
      <w:r>
        <w:rPr>
          <w:rFonts w:ascii="Times New Roman" w:hAnsi="Times New Roman" w:eastAsia="仿宋_GB2312" w:cs="仿宋_GB2312"/>
          <w:color w:val="auto"/>
          <w:sz w:val="32"/>
          <w:szCs w:val="32"/>
          <w:highlight w:val="none"/>
        </w:rPr>
        <w:t>。</w:t>
      </w:r>
      <w:r>
        <w:rPr>
          <w:rFonts w:ascii="Times New Roman" w:hAnsi="Times New Roman" w:eastAsia="仿宋_GB2312" w:cs="仿宋_GB2312"/>
          <w:b w:val="0"/>
          <w:color w:val="auto"/>
          <w:sz w:val="32"/>
          <w:szCs w:val="32"/>
        </w:rPr>
        <w:t>积极开展招商引资工作，引进家装设计、家居装饰材料、五金配件、木工机械等配套产业，</w:t>
      </w:r>
      <w:r>
        <w:rPr>
          <w:rFonts w:ascii="Times New Roman" w:hAnsi="Times New Roman" w:eastAsia="仿宋_GB2312" w:cs="仿宋_GB2312"/>
          <w:color w:val="auto"/>
          <w:sz w:val="32"/>
          <w:szCs w:val="32"/>
        </w:rPr>
        <w:t>推动产业链建立从上游的研发、设计，到中游的生产、加工，再到下游的物流、配套展示、市场营销的产业链，</w:t>
      </w:r>
      <w:r>
        <w:rPr>
          <w:rFonts w:ascii="Times New Roman" w:hAnsi="Times New Roman" w:eastAsia="仿宋_GB2312" w:cs="仿宋_GB2312"/>
          <w:b w:val="0"/>
          <w:color w:val="auto"/>
          <w:sz w:val="32"/>
          <w:szCs w:val="32"/>
        </w:rPr>
        <w:t>集中打造高端绿色家居全产业链产业集聚</w:t>
      </w:r>
      <w:r>
        <w:rPr>
          <w:rFonts w:ascii="Times New Roman" w:hAnsi="Times New Roman" w:eastAsia="仿宋_GB2312" w:cs="仿宋_GB2312"/>
          <w:color w:val="auto"/>
          <w:sz w:val="32"/>
          <w:szCs w:val="32"/>
        </w:rPr>
        <w:t>。（牵头单位：市投促局，林业和园林局配合单位：市工业和信息化局，市场监督管理局，商务局，交通运输局，科技局，各县（区）人民政府、新区管委会）</w:t>
      </w:r>
    </w:p>
    <w:p>
      <w:pPr>
        <w:pStyle w:val="6"/>
        <w:numPr>
          <w:ilvl w:val="0"/>
          <w:numId w:val="0"/>
        </w:numPr>
        <w:topLinePunct w:val="0"/>
        <w:ind w:left="0" w:leftChars="0" w:firstLine="640"/>
        <w:rPr>
          <w:rFonts w:hint="eastAsia" w:ascii="楷体_GB2312" w:hAnsi="楷体_GB2312" w:eastAsia="楷体_GB2312" w:cs="楷体_GB2312"/>
          <w:b w:val="0"/>
          <w:highlight w:val="none"/>
        </w:rPr>
      </w:pPr>
      <w:r>
        <w:rPr>
          <w:rFonts w:hint="eastAsia"/>
          <w:highlight w:val="none"/>
          <w:lang w:eastAsia="zh-CN"/>
        </w:rPr>
        <w:t>（三）</w:t>
      </w:r>
      <w:r>
        <w:rPr>
          <w:highlight w:val="none"/>
        </w:rPr>
        <w:t>强化企业梯度培育</w:t>
      </w:r>
    </w:p>
    <w:p>
      <w:pPr>
        <w:pStyle w:val="14"/>
        <w:rPr>
          <w:rFonts w:ascii="Times New Roman" w:hAnsi="Times New Roman" w:eastAsia="仿宋_GB2312" w:cs="仿宋_GB2312"/>
          <w:color w:val="auto"/>
          <w:sz w:val="32"/>
          <w:szCs w:val="32"/>
          <w:highlight w:val="none"/>
        </w:rPr>
      </w:pPr>
      <w:r>
        <w:rPr>
          <w:rStyle w:val="25"/>
        </w:rPr>
        <w:t>5.实施企业梯度培育</w:t>
      </w:r>
      <w:r>
        <w:rPr>
          <w:rFonts w:ascii="Times New Roman" w:hAnsi="Times New Roman" w:eastAsia="仿宋_GB2312" w:cs="仿宋_GB2312"/>
          <w:b/>
          <w:color w:val="auto"/>
          <w:sz w:val="32"/>
          <w:szCs w:val="32"/>
          <w:highlight w:val="none"/>
        </w:rPr>
        <w:t>。</w:t>
      </w:r>
      <w:r>
        <w:rPr>
          <w:rFonts w:ascii="Times New Roman" w:hAnsi="Times New Roman" w:eastAsia="仿宋_GB2312" w:cs="仿宋_GB2312"/>
          <w:color w:val="auto"/>
          <w:sz w:val="32"/>
          <w:szCs w:val="32"/>
          <w:highlight w:val="none"/>
        </w:rPr>
        <w:t>培育一批产业链“链主”企业，推动龙头企业做大做强，发挥龙头企业的带动作用，壮大全市林产加工及纸业企业数量；引导</w:t>
      </w:r>
      <w:r>
        <w:rPr>
          <w:rFonts w:ascii="Times New Roman" w:hAnsi="Times New Roman" w:eastAsia="仿宋_GB2312" w:cs="仿宋_GB2312"/>
          <w:color w:val="auto"/>
          <w:sz w:val="32"/>
          <w:szCs w:val="32"/>
        </w:rPr>
        <w:t>企业加大技术改造、加强设备和技术工艺升级，提升产品质量，</w:t>
      </w:r>
      <w:r>
        <w:rPr>
          <w:rFonts w:ascii="Times New Roman" w:hAnsi="Times New Roman" w:eastAsia="仿宋_GB2312" w:cs="仿宋_GB2312"/>
          <w:color w:val="auto"/>
          <w:sz w:val="32"/>
          <w:szCs w:val="32"/>
          <w:highlight w:val="none"/>
        </w:rPr>
        <w:t>打造一批骨干支撑企业；</w:t>
      </w:r>
      <w:r>
        <w:rPr>
          <w:rFonts w:ascii="Times New Roman" w:hAnsi="Times New Roman" w:eastAsia="仿宋_GB2312" w:cs="仿宋_GB2312"/>
          <w:color w:val="auto"/>
          <w:sz w:val="32"/>
          <w:szCs w:val="32"/>
        </w:rPr>
        <w:t>开展优质中小企业培育工作，培育一批专精特新“小巨人”企业、制造业单项冠军企业。（牵头单位：市工业和信息化局，配合单位：市林业和园林局，各县（区）人民政府、新区管委会）</w:t>
      </w:r>
    </w:p>
    <w:p>
      <w:pPr>
        <w:pStyle w:val="6"/>
        <w:numPr>
          <w:ilvl w:val="0"/>
          <w:numId w:val="0"/>
        </w:numPr>
        <w:topLinePunct w:val="0"/>
        <w:ind w:left="0" w:leftChars="0" w:firstLine="640"/>
        <w:rPr>
          <w:rFonts w:hint="eastAsia" w:ascii="楷体_GB2312" w:hAnsi="楷体_GB2312" w:eastAsia="楷体_GB2312" w:cs="楷体_GB2312"/>
          <w:b w:val="0"/>
          <w:highlight w:val="none"/>
        </w:rPr>
      </w:pPr>
      <w:r>
        <w:rPr>
          <w:rFonts w:hint="eastAsia"/>
          <w:highlight w:val="none"/>
          <w:lang w:eastAsia="zh-CN"/>
        </w:rPr>
        <w:t>（四）</w:t>
      </w:r>
      <w:r>
        <w:rPr>
          <w:highlight w:val="none"/>
        </w:rPr>
        <w:t>推进数字化赋能产业发展</w:t>
      </w:r>
    </w:p>
    <w:p>
      <w:pPr>
        <w:pStyle w:val="14"/>
        <w:rPr>
          <w:rFonts w:ascii="Times New Roman" w:hAnsi="Times New Roman" w:eastAsia="仿宋_GB2312" w:cs="仿宋_GB2312"/>
          <w:color w:val="auto"/>
          <w:sz w:val="32"/>
          <w:szCs w:val="32"/>
        </w:rPr>
      </w:pPr>
      <w:r>
        <w:rPr>
          <w:rStyle w:val="25"/>
        </w:rPr>
        <w:t>6.加强人工智能与林产加工及纸业产业相融合</w:t>
      </w:r>
      <w:r>
        <w:rPr>
          <w:rFonts w:ascii="Times New Roman" w:hAnsi="Times New Roman" w:eastAsia="仿宋_GB2312" w:cs="仿宋_GB2312"/>
          <w:b/>
          <w:color w:val="auto"/>
          <w:sz w:val="32"/>
          <w:szCs w:val="32"/>
        </w:rPr>
        <w:t>。</w:t>
      </w:r>
      <w:r>
        <w:rPr>
          <w:rFonts w:ascii="Times New Roman" w:hAnsi="Times New Roman" w:eastAsia="仿宋_GB2312" w:cs="仿宋_GB2312"/>
          <w:color w:val="auto"/>
          <w:sz w:val="32"/>
          <w:szCs w:val="32"/>
        </w:rPr>
        <w:t>积极推进人工智能在林产加工关键环节的应用，</w:t>
      </w:r>
      <w:r>
        <w:rPr>
          <w:rFonts w:ascii="Times New Roman" w:hAnsi="Times New Roman" w:eastAsia="仿宋_GB2312" w:cs="仿宋_GB2312"/>
          <w:color w:val="auto"/>
          <w:sz w:val="32"/>
          <w:szCs w:val="32"/>
          <w:u w:val="none"/>
        </w:rPr>
        <w:t>支持企业对标国际先进制造水平，围绕“智能化、绿色化、融合化”方向，引进国内外先进生产设备与工艺，系统推进生产线全流程智能化升级。支持企业建设数控中心，实现生产数据实时采集与生产流程精细管控，打造智能工厂和数字化车间。</w:t>
      </w:r>
      <w:r>
        <w:rPr>
          <w:rFonts w:ascii="Times New Roman" w:hAnsi="Times New Roman" w:eastAsia="仿宋_GB2312" w:cs="仿宋_GB2312"/>
          <w:b w:val="0"/>
          <w:color w:val="auto"/>
          <w:sz w:val="32"/>
          <w:szCs w:val="32"/>
        </w:rPr>
        <w:t>推动“柳州制造”向“柳州智造”跃升，全面提升生产效率与产品附加值。（牵头单位：市工业和信息化局，配合单位：市林业和园林局，各县（区）人民政府、新区管委会）</w:t>
      </w:r>
    </w:p>
    <w:p>
      <w:pPr>
        <w:pStyle w:val="6"/>
        <w:numPr>
          <w:ilvl w:val="0"/>
          <w:numId w:val="0"/>
        </w:numPr>
        <w:topLinePunct w:val="0"/>
        <w:ind w:left="0" w:leftChars="0" w:firstLine="640"/>
        <w:rPr>
          <w:rFonts w:hint="eastAsia" w:ascii="楷体_GB2312" w:hAnsi="楷体_GB2312" w:eastAsia="楷体_GB2312" w:cs="楷体_GB2312"/>
          <w:b w:val="0"/>
          <w:highlight w:val="none"/>
        </w:rPr>
      </w:pPr>
      <w:r>
        <w:rPr>
          <w:rFonts w:hint="eastAsia"/>
          <w:highlight w:val="none"/>
          <w:lang w:eastAsia="zh-CN"/>
        </w:rPr>
        <w:t>（五）</w:t>
      </w:r>
      <w:r>
        <w:rPr>
          <w:highlight w:val="none"/>
        </w:rPr>
        <w:t>加大品牌培育力度</w:t>
      </w:r>
    </w:p>
    <w:p>
      <w:pPr>
        <w:pStyle w:val="14"/>
        <w:rPr>
          <w:rFonts w:ascii="Times New Roman" w:hAnsi="Times New Roman" w:eastAsia="仿宋_GB2312" w:cs="仿宋_GB2312"/>
          <w:color w:val="auto"/>
          <w:sz w:val="32"/>
          <w:szCs w:val="32"/>
        </w:rPr>
      </w:pPr>
      <w:r>
        <w:rPr>
          <w:rStyle w:val="25"/>
        </w:rPr>
        <w:t>7.打造“柳州香杉”区域品牌</w:t>
      </w:r>
      <w:r>
        <w:rPr>
          <w:rFonts w:ascii="Times New Roman" w:hAnsi="Times New Roman" w:eastAsia="仿宋_GB2312" w:cs="仿宋_GB2312"/>
          <w:b/>
          <w:color w:val="auto"/>
          <w:sz w:val="32"/>
          <w:szCs w:val="32"/>
        </w:rPr>
        <w:t>。</w:t>
      </w:r>
      <w:r>
        <w:rPr>
          <w:rFonts w:ascii="Times New Roman" w:hAnsi="Times New Roman" w:eastAsia="仿宋_GB2312" w:cs="仿宋_GB2312"/>
          <w:b w:val="0"/>
          <w:color w:val="auto"/>
          <w:sz w:val="32"/>
          <w:szCs w:val="32"/>
        </w:rPr>
        <w:t>引导板材与家具企业制定品牌战略，走好品牌化发展之路。坚持绿色引领，鼓励和支持企业申请ENF级、CARB NAF、FSC、中国绿色产品等国内外绿色认证。深化与头部企业合作，积极促成企业与国内家居巨头建立战略合作关系，拓展高端供应链。组织企业参加国内外高端展会，融入全球市场体系。强化品牌叙事能力，讲好柳州林木业品牌故事。</w:t>
      </w:r>
      <w:r>
        <w:rPr>
          <w:rFonts w:ascii="Times New Roman" w:hAnsi="Times New Roman" w:eastAsia="仿宋_GB2312" w:cs="仿宋_GB2312"/>
          <w:color w:val="auto"/>
          <w:sz w:val="32"/>
          <w:szCs w:val="32"/>
          <w:u w:val="none"/>
        </w:rPr>
        <w:t>深挖香杉</w:t>
      </w:r>
      <w:r>
        <w:rPr>
          <w:rFonts w:ascii="Times New Roman" w:hAnsi="Times New Roman" w:eastAsia="仿宋_GB2312" w:cs="仿宋_GB2312"/>
          <w:b w:val="0"/>
          <w:color w:val="auto"/>
          <w:sz w:val="32"/>
          <w:szCs w:val="32"/>
        </w:rPr>
        <w:t>的种植史、利用史、</w:t>
      </w:r>
      <w:r>
        <w:rPr>
          <w:rFonts w:ascii="Times New Roman" w:hAnsi="Times New Roman" w:eastAsia="仿宋_GB2312" w:cs="仿宋_GB2312"/>
          <w:color w:val="auto"/>
          <w:sz w:val="32"/>
          <w:szCs w:val="32"/>
          <w:u w:val="none"/>
        </w:rPr>
        <w:t>文化与健康内涵，支持“壮象”等品牌讲好健康家居故事，</w:t>
      </w:r>
      <w:r>
        <w:rPr>
          <w:rFonts w:ascii="Times New Roman" w:hAnsi="Times New Roman" w:eastAsia="仿宋_GB2312" w:cs="仿宋_GB2312"/>
          <w:b w:val="0"/>
          <w:color w:val="auto"/>
          <w:sz w:val="32"/>
          <w:szCs w:val="32"/>
        </w:rPr>
        <w:t>讲好“柳州香杉”故事，</w:t>
      </w:r>
      <w:r>
        <w:rPr>
          <w:rFonts w:ascii="Times New Roman" w:hAnsi="Times New Roman" w:eastAsia="仿宋_GB2312" w:cs="仿宋_GB2312"/>
          <w:color w:val="auto"/>
          <w:sz w:val="32"/>
          <w:szCs w:val="32"/>
          <w:u w:val="none"/>
        </w:rPr>
        <w:t>提升品牌认知与附加值。（牵头单位：市场监督管理局，商务局；配合单位：市工业和信息化局，林业和园林局，</w:t>
      </w:r>
      <w:r>
        <w:rPr>
          <w:rFonts w:ascii="Times New Roman" w:hAnsi="Times New Roman" w:eastAsia="仿宋_GB2312" w:cs="仿宋_GB2312"/>
          <w:b w:val="0"/>
          <w:color w:val="auto"/>
          <w:sz w:val="32"/>
          <w:szCs w:val="32"/>
        </w:rPr>
        <w:t>各县（区）人民政府、新区管委会</w:t>
      </w:r>
      <w:r>
        <w:rPr>
          <w:rFonts w:ascii="Times New Roman" w:hAnsi="Times New Roman" w:eastAsia="仿宋_GB2312" w:cs="仿宋_GB2312"/>
          <w:color w:val="auto"/>
          <w:sz w:val="32"/>
          <w:szCs w:val="32"/>
          <w:u w:val="none"/>
        </w:rPr>
        <w:t>）</w:t>
      </w:r>
    </w:p>
    <w:p>
      <w:pPr>
        <w:pStyle w:val="6"/>
        <w:numPr>
          <w:ilvl w:val="0"/>
          <w:numId w:val="0"/>
        </w:numPr>
        <w:topLinePunct w:val="0"/>
        <w:ind w:left="0" w:leftChars="0" w:firstLine="640"/>
        <w:rPr>
          <w:rFonts w:hint="eastAsia" w:ascii="楷体_GB2312" w:hAnsi="楷体_GB2312" w:eastAsia="楷体_GB2312" w:cs="楷体_GB2312"/>
          <w:b w:val="0"/>
          <w:highlight w:val="none"/>
        </w:rPr>
      </w:pPr>
      <w:r>
        <w:rPr>
          <w:rFonts w:hint="eastAsia"/>
          <w:highlight w:val="none"/>
          <w:lang w:eastAsia="zh-CN"/>
        </w:rPr>
        <w:t>（六）</w:t>
      </w:r>
      <w:r>
        <w:rPr>
          <w:highlight w:val="none"/>
        </w:rPr>
        <w:t>深化国内国际双合作</w:t>
      </w:r>
    </w:p>
    <w:p>
      <w:pPr>
        <w:pStyle w:val="14"/>
        <w:rPr>
          <w:rFonts w:ascii="Times New Roman" w:hAnsi="Times New Roman" w:eastAsia="仿宋_GB2312" w:cs="仿宋_GB2312"/>
          <w:sz w:val="32"/>
          <w:szCs w:val="32"/>
        </w:rPr>
      </w:pPr>
      <w:r>
        <w:rPr>
          <w:rStyle w:val="25"/>
        </w:rPr>
        <w:t>8.助力企业开拓国内外市场</w:t>
      </w:r>
      <w:r>
        <w:rPr>
          <w:rFonts w:ascii="Times New Roman" w:hAnsi="Times New Roman" w:eastAsia="仿宋_GB2312" w:cs="仿宋_GB2312"/>
          <w:b/>
          <w:color w:val="auto"/>
          <w:sz w:val="32"/>
          <w:szCs w:val="32"/>
        </w:rPr>
        <w:t>。</w:t>
      </w:r>
      <w:r>
        <w:rPr>
          <w:rFonts w:ascii="Times New Roman" w:hAnsi="Times New Roman" w:eastAsia="仿宋_GB2312" w:cs="仿宋_GB2312"/>
          <w:color w:val="auto"/>
          <w:sz w:val="32"/>
          <w:szCs w:val="32"/>
          <w:highlight w:val="none"/>
        </w:rPr>
        <w:t>打造林产加工及纸业产业互联网平台，通过“科技＋产业＋金融”模式，连接木材加工企业、供应商、经销商等产业链各环节，通过平台实现信息共享、业务协同和在线交易，提高产业链协同效率，拓展市场空间。</w:t>
      </w:r>
      <w:r>
        <w:rPr>
          <w:rFonts w:ascii="Times New Roman" w:hAnsi="Times New Roman" w:eastAsia="仿宋_GB2312" w:cs="仿宋_GB2312"/>
          <w:color w:val="auto"/>
          <w:sz w:val="32"/>
          <w:szCs w:val="32"/>
        </w:rPr>
        <w:t>建立政府、协会、企业、电商平台等多方参与协同配合的促消费联动机制，推动高端绿色家具家居产品纳入活动名单，加大产品推广、销售力度。鼓励企业利用短视频等主流社交媒体开展产品营销，扩大产品知名度，支持企业参加世界林木业大会、中国东盟博览会等等各类展会，接洽国内外合作客户，打响企业品牌，深化国内国际合作。（牵头单位：市商务局；配合单位：市工业和信息化局，市大数据局，市林业和园林局，</w:t>
      </w:r>
      <w:r>
        <w:rPr>
          <w:rFonts w:ascii="Times New Roman" w:hAnsi="Times New Roman" w:eastAsia="仿宋_GB2312" w:cs="仿宋_GB2312"/>
          <w:b w:val="0"/>
          <w:color w:val="auto"/>
          <w:sz w:val="32"/>
          <w:szCs w:val="32"/>
        </w:rPr>
        <w:t>各县（区）人民政府、新区管委会</w:t>
      </w:r>
      <w:r>
        <w:rPr>
          <w:rFonts w:ascii="Times New Roman" w:hAnsi="Times New Roman" w:eastAsia="仿宋_GB2312" w:cs="仿宋_GB2312"/>
          <w:color w:val="auto"/>
          <w:sz w:val="32"/>
          <w:szCs w:val="32"/>
        </w:rPr>
        <w:t>）</w:t>
      </w:r>
    </w:p>
    <w:p>
      <w:pPr>
        <w:pStyle w:val="5"/>
        <w:widowControl/>
        <w:numPr>
          <w:ilvl w:val="0"/>
          <w:numId w:val="0"/>
        </w:numPr>
        <w:topLinePunct w:val="0"/>
        <w:ind w:left="0" w:leftChars="0" w:firstLine="640"/>
        <w:rPr>
          <w:b w:val="0"/>
        </w:rPr>
      </w:pPr>
      <w:r>
        <w:rPr>
          <w:rFonts w:hint="eastAsia"/>
          <w:lang w:eastAsia="zh-CN"/>
        </w:rPr>
        <w:t>四、</w:t>
      </w:r>
      <w:r>
        <w:t>重点项目</w:t>
      </w:r>
    </w:p>
    <w:p>
      <w:pPr>
        <w:pStyle w:val="14"/>
        <w:rPr>
          <w:rFonts w:ascii="Times New Roman" w:hAnsi="Times New Roman" w:eastAsia="仿宋_GB2312" w:cs="仿宋_GB2312"/>
          <w:color w:val="auto"/>
          <w:sz w:val="32"/>
          <w:szCs w:val="32"/>
        </w:rPr>
      </w:pPr>
      <w:r>
        <w:rPr>
          <w:rFonts w:ascii="Times New Roman" w:hAnsi="Times New Roman" w:eastAsia="仿宋_GB2312" w:cs="仿宋_GB2312"/>
          <w:color w:val="auto"/>
          <w:sz w:val="32"/>
          <w:szCs w:val="32"/>
        </w:rPr>
        <w:t>目前柳州市林产加工及纸业产业重点项目共10个，总投资38.95亿元（详见《附件3.柳州市林产加工及纸业产业重点项目表》）。</w:t>
      </w:r>
    </w:p>
    <w:p>
      <w:pPr>
        <w:pStyle w:val="5"/>
        <w:widowControl/>
        <w:numPr>
          <w:ilvl w:val="0"/>
          <w:numId w:val="0"/>
        </w:numPr>
        <w:topLinePunct w:val="0"/>
        <w:ind w:left="0" w:leftChars="0" w:firstLine="640"/>
        <w:rPr>
          <w:b w:val="0"/>
        </w:rPr>
      </w:pPr>
      <w:r>
        <w:rPr>
          <w:rFonts w:hint="eastAsia"/>
          <w:lang w:eastAsia="zh-CN"/>
        </w:rPr>
        <w:t>五、</w:t>
      </w:r>
      <w:r>
        <w:t>保障措施</w:t>
      </w:r>
    </w:p>
    <w:p>
      <w:pPr>
        <w:pStyle w:val="14"/>
        <w:numPr>
          <w:ilvl w:val="0"/>
          <w:numId w:val="0"/>
        </w:numPr>
        <w:topLinePunct w:val="0"/>
        <w:ind w:left="0" w:leftChars="0" w:firstLine="616"/>
        <w:rPr>
          <w:rFonts w:hint="eastAsia" w:ascii="楷体_GB2312" w:hAnsi="楷体_GB2312" w:eastAsia="楷体_GB2312" w:cs="楷体_GB2312"/>
          <w:b w:val="0"/>
          <w:color w:val="auto"/>
          <w:sz w:val="32"/>
          <w:szCs w:val="32"/>
        </w:rPr>
      </w:pPr>
      <w:bookmarkStart w:id="0" w:name="_Toc12958"/>
      <w:bookmarkStart w:id="1" w:name="_Toc22091"/>
      <w:r>
        <w:rPr>
          <w:rStyle w:val="26"/>
          <w:rFonts w:hint="eastAsia" w:eastAsia="楷体_GB2312"/>
          <w:lang w:eastAsia="zh-CN"/>
        </w:rPr>
        <w:t>（一）</w:t>
      </w:r>
      <w:r>
        <w:rPr>
          <w:rStyle w:val="26"/>
        </w:rPr>
        <w:t>加强组织领导</w:t>
      </w:r>
      <w:bookmarkEnd w:id="0"/>
      <w:bookmarkEnd w:id="1"/>
      <w:r>
        <w:rPr>
          <w:rStyle w:val="26"/>
        </w:rPr>
        <w:t>，健全工作机制</w:t>
      </w:r>
      <w:r>
        <w:rPr>
          <w:rFonts w:ascii="Times New Roman" w:hAnsi="Times New Roman" w:eastAsia="仿宋_GB2312" w:cs="仿宋_GB2312"/>
          <w:color w:val="auto"/>
          <w:sz w:val="32"/>
          <w:szCs w:val="32"/>
        </w:rPr>
        <w:t>。依托林产加工及纸业产业攻坚小组，强化部门协同与市县联动，畅通与重点企业常态化沟通渠道，统筹推进重大政策制定、重大工程落实、重点项目建设，研究解决行业发展堵点、痛点、难点问题，为企业提供精准高效服务。落实“1071”产业发展推进机制、“1330”工作落实闭环机制，汇聚各方力量，共同谋划发展思路、协调解决困难问题，合力推进产业高质量发展。</w:t>
      </w:r>
    </w:p>
    <w:p>
      <w:pPr>
        <w:pStyle w:val="14"/>
        <w:numPr>
          <w:ilvl w:val="0"/>
          <w:numId w:val="0"/>
        </w:numPr>
        <w:topLinePunct w:val="0"/>
        <w:ind w:left="0" w:leftChars="0" w:firstLine="616"/>
        <w:rPr>
          <w:rFonts w:hint="eastAsia" w:ascii="楷体_GB2312" w:hAnsi="楷体_GB2312" w:eastAsia="楷体_GB2312" w:cs="楷体_GB2312"/>
          <w:b w:val="0"/>
          <w:color w:val="auto"/>
          <w:sz w:val="32"/>
          <w:szCs w:val="32"/>
        </w:rPr>
      </w:pPr>
      <w:r>
        <w:rPr>
          <w:rStyle w:val="26"/>
          <w:rFonts w:hint="eastAsia" w:eastAsia="楷体_GB2312"/>
          <w:lang w:eastAsia="zh-CN"/>
        </w:rPr>
        <w:t>（二）</w:t>
      </w:r>
      <w:r>
        <w:rPr>
          <w:rStyle w:val="26"/>
        </w:rPr>
        <w:t>用好用足用活各项政策</w:t>
      </w:r>
      <w:r>
        <w:rPr>
          <w:rFonts w:ascii="Times New Roman" w:hAnsi="Times New Roman" w:eastAsia="仿宋_GB2312" w:cs="仿宋_GB2312"/>
          <w:color w:val="auto"/>
          <w:sz w:val="32"/>
          <w:szCs w:val="32"/>
        </w:rPr>
        <w:t>。一是强化财税金融赋能，落实好中国—东盟产业合作区协同发展区“五免五减半”政策、自治区支持柳州市的一揽子化债政策、《金融支持柳州市制造业高质量发展若干措施》和“柳州工业贷”等政策，结合产业引导基金集群，撬动更多社会资本投向重点产业链。二是支持转型升级，落实好国家中小企业数字化转型试点城市政策以及柳州市稳增长等政策，支持企业开展智能化改造和数字化转型。三是夯实人才支撑，巩固“国家产教融合试点城市”和“全国首批现代学徒制试点城市”建设成果，加快升级出台柳州市人才新政3.0，加大对先进制造业人才和人工智能人才的引进培养，为示范区建设提供源源不断的人才动力。四是深化“放管服”、工业项目“标准地”等改革措施，优化行政审批流程，对重大产业项目实行“一站式”审批、“并联审批”，进一步压缩审批时限。</w:t>
      </w:r>
    </w:p>
    <w:p>
      <w:pPr>
        <w:pStyle w:val="14"/>
        <w:numPr>
          <w:ilvl w:val="0"/>
          <w:numId w:val="0"/>
        </w:numPr>
        <w:topLinePunct w:val="0"/>
        <w:ind w:left="0" w:leftChars="0" w:firstLine="616"/>
        <w:rPr>
          <w:rFonts w:hint="eastAsia" w:ascii="楷体_GB2312" w:hAnsi="楷体_GB2312" w:eastAsia="楷体_GB2312" w:cs="楷体_GB2312"/>
          <w:b w:val="0"/>
          <w:sz w:val="32"/>
          <w:szCs w:val="32"/>
        </w:rPr>
      </w:pPr>
      <w:bookmarkStart w:id="2" w:name="_Toc22490"/>
      <w:bookmarkStart w:id="3" w:name="_Toc19983"/>
      <w:r>
        <w:rPr>
          <w:rStyle w:val="26"/>
          <w:rFonts w:hint="eastAsia" w:eastAsia="楷体_GB2312"/>
          <w:lang w:eastAsia="zh-CN"/>
        </w:rPr>
        <w:t>（三）</w:t>
      </w:r>
      <w:r>
        <w:rPr>
          <w:rStyle w:val="26"/>
        </w:rPr>
        <w:t>营造良好氛围</w:t>
      </w:r>
      <w:bookmarkEnd w:id="2"/>
      <w:bookmarkEnd w:id="3"/>
      <w:r>
        <w:rPr>
          <w:rFonts w:ascii="Times New Roman" w:hAnsi="Times New Roman" w:eastAsia="仿宋_GB2312" w:cs="仿宋_GB2312"/>
          <w:color w:val="auto"/>
          <w:sz w:val="32"/>
          <w:szCs w:val="32"/>
        </w:rPr>
        <w:t>。加强产业政策、发展成效、典型案例的宣传解读，充分利用各类媒体平台，全方位展示我市林产加工及纸业产业发展成果、良好生态与投资机遇，凝聚全社会关心支持产业发展的共识。大力弘扬企业家精神、工匠精神和创新精神，激励企业敢闯敢干、敢为人先，激发市场主体创新创业活力。持续优化营商环境，构建亲清统一的新型政商关系，畅通政企沟通渠道，形成上下同心、齐抓共促、竞相发展的良好局面。</w:t>
      </w:r>
    </w:p>
    <w:p>
      <w:pPr>
        <w:pStyle w:val="14"/>
        <w:bidi w:val="0"/>
      </w:pPr>
    </w:p>
    <w:p>
      <w:pPr>
        <w:pStyle w:val="14"/>
        <w:bidi w:val="0"/>
      </w:pPr>
      <w:bookmarkStart w:id="4" w:name="_GoBack"/>
      <w:bookmarkEnd w:id="4"/>
    </w:p>
    <w:sectPr>
      <w:headerReference r:id="rId5" w:type="default"/>
      <w:footerReference r:id="rId7" w:type="default"/>
      <w:headerReference r:id="rId6" w:type="even"/>
      <w:footerReference r:id="rId8" w:type="even"/>
      <w:pgSz w:w="11906" w:h="16838"/>
      <w:pgMar w:top="2098" w:right="1474" w:bottom="1984" w:left="1587" w:header="851" w:footer="1417" w:gutter="0"/>
      <w:pgNumType w:fmt="decimal" w:start="1"/>
      <w:cols w:space="720" w:num="1"/>
      <w:docGrid w:type="linesAndChars" w:linePitch="579" w:charSpace="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BqVKztYAAAAGAQAADwAAAAAAAAABACAAAAA4AAAAZHJzL2Rvd25yZXYueG1sUEsB&#10;AhQAFAAAAAgAh07iQJICVuMaAgAAHQQAAA4AAAAAAAAAAQAgAAAAOwEAAGRycy9lMm9Eb2MueG1s&#10;UEsFBgAAAAAGAAYAWQEAAMcFAAAAAA==&#10;">
              <v:fill on="f" focussize="0,0"/>
              <v:stroke on="f" weight="0.5pt"/>
              <v:imagedata o:title=""/>
              <o:lock v:ext="edit" aspectratio="f"/>
              <v:textbox inset="16pt,0mm,16pt,0mm" style="mso-fit-shape-to-text:t;">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AGpUrO1gAAAAYBAAAPAAAAAAAAAAEAIAAAADgAAABkcnMvZG93bnJldi54bWxQSwEC&#10;FAAUAAAACACHTuJA7fITVRkCAAAdBAAADgAAAAAAAAABACAAAAA7AQAAZHJzL2Uyb0RvYy54bWxQ&#10;SwUGAAAAAAYABgBZAQAAxgUAAAAA&#10;">
              <v:fill on="f" focussize="0,0"/>
              <v:stroke on="f" weight="0.5pt"/>
              <v:imagedata o:title=""/>
              <o:lock v:ext="edit" aspectratio="f"/>
              <v:textbox inset="16pt,0mm,16pt,0mm" style="mso-fit-shape-to-text:t;">
                <w:txbxContent>
                  <w:p>
                    <w:pPr>
                      <w:pStyle w:val="15"/>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documentProtection w:enforcement="0"/>
  <w:evenAndOddHeaders w:val="1"/>
  <w:drawingGridHorizontalSpacing w:val="158"/>
  <w:drawingGridVerticalSpacing w:val="290"/>
  <w:displayHorizontalDrawingGridEvery w:val="2"/>
  <w:displayVerticalDrawingGridEvery w:val="2"/>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AFD26F9"/>
    <w:rsid w:val="3C86C501"/>
    <w:rsid w:val="3D9F84C7"/>
    <w:rsid w:val="3EA7035C"/>
    <w:rsid w:val="3FAE872C"/>
    <w:rsid w:val="3FFFB2DC"/>
    <w:rsid w:val="57133534"/>
    <w:rsid w:val="67FD4346"/>
    <w:rsid w:val="6ACBE8ED"/>
    <w:rsid w:val="765B4F03"/>
    <w:rsid w:val="77BEF500"/>
    <w:rsid w:val="7D616AE6"/>
    <w:rsid w:val="7F9F2C50"/>
    <w:rsid w:val="BEFA1F4E"/>
    <w:rsid w:val="DF7F2949"/>
    <w:rsid w:val="EBFF97CE"/>
    <w:rsid w:val="EFFE4ACB"/>
    <w:rsid w:val="FF3FD3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5">
    <w:name w:val="heading 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6">
    <w:name w:val="heading 2"/>
    <w:next w:val="1"/>
    <w:link w:val="26"/>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7">
    <w:name w:val="heading 3"/>
    <w:next w:val="1"/>
    <w:link w:val="25"/>
    <w:semiHidden/>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8">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9">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10">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11">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12">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3">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Times New Roman"/>
    </w:rPr>
  </w:style>
  <w:style w:type="paragraph" w:styleId="3">
    <w:name w:val="Body Text Indent"/>
    <w:basedOn w:val="1"/>
    <w:next w:val="4"/>
    <w:unhideWhenUsed/>
    <w:qFormat/>
    <w:uiPriority w:val="99"/>
    <w:pPr>
      <w:ind w:left="420" w:leftChars="200"/>
    </w:pPr>
  </w:style>
  <w:style w:type="paragraph" w:customStyle="1" w:styleId="4">
    <w:name w:val="样式 正文文本缩进 + 左侧:  2 字符"/>
    <w:qFormat/>
    <w:uiPriority w:val="0"/>
    <w:pPr>
      <w:widowControl w:val="0"/>
      <w:suppressAutoHyphens/>
      <w:spacing w:line="360" w:lineRule="auto"/>
      <w:ind w:firstLine="200"/>
      <w:jc w:val="both"/>
    </w:pPr>
    <w:rPr>
      <w:rFonts w:ascii="宋体" w:hAnsi="宋体" w:eastAsia="宋体" w:cs="宋体"/>
      <w:kern w:val="1"/>
      <w:sz w:val="21"/>
      <w:lang w:val="en-US" w:eastAsia="zh-CN" w:bidi="ar-SA"/>
    </w:rPr>
  </w:style>
  <w:style w:type="paragraph" w:styleId="14">
    <w:name w:val="Body Text"/>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8">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character" w:styleId="21">
    <w:name w:val="Strong"/>
    <w:basedOn w:val="20"/>
    <w:qFormat/>
    <w:uiPriority w:val="0"/>
    <w:rPr>
      <w:b/>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customStyle="1" w:styleId="23">
    <w:name w:val="图表目录1"/>
    <w:basedOn w:val="1"/>
    <w:next w:val="1"/>
    <w:qFormat/>
    <w:uiPriority w:val="0"/>
    <w:pPr>
      <w:ind w:left="200" w:leftChars="200" w:hanging="200" w:hangingChars="200"/>
    </w:pPr>
    <w:rPr>
      <w:rFonts w:ascii="Times New Roman" w:hAnsi="Times New Roman" w:eastAsia="仿宋_GB2312" w:cs="Times New Roman"/>
      <w:sz w:val="32"/>
    </w:rPr>
  </w:style>
  <w:style w:type="paragraph" w:customStyle="1" w:styleId="24">
    <w:name w:val="附录标题"/>
    <w:next w:val="1"/>
    <w:qFormat/>
    <w:uiPriority w:val="0"/>
    <w:pPr>
      <w:overflowPunct w:val="0"/>
      <w:topLinePunct/>
      <w:spacing w:line="560" w:lineRule="exact"/>
      <w:jc w:val="left"/>
      <w:outlineLvl w:val="0"/>
    </w:pPr>
    <w:rPr>
      <w:rFonts w:ascii="黑体" w:hAnsi="黑体" w:eastAsia="黑体" w:cs="黑体"/>
      <w:sz w:val="32"/>
      <w:szCs w:val="32"/>
    </w:rPr>
  </w:style>
  <w:style w:type="character" w:customStyle="1" w:styleId="25">
    <w:name w:val="标题 3 Char"/>
    <w:link w:val="7"/>
    <w:qFormat/>
    <w:uiPriority w:val="0"/>
    <w:rPr>
      <w:rFonts w:ascii="Times New Roman" w:hAnsi="Times New Roman" w:eastAsia="仿宋_GB2312" w:cs="仿宋_GB2312"/>
      <w:sz w:val="32"/>
      <w:szCs w:val="32"/>
    </w:rPr>
  </w:style>
  <w:style w:type="character" w:customStyle="1" w:styleId="26">
    <w:name w:val="标题 2 Char"/>
    <w:link w:val="6"/>
    <w:qFormat/>
    <w:uiPriority w:val="0"/>
    <w:rPr>
      <w:rFonts w:ascii="Times New Roman" w:hAnsi="Times New Roman"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4823</Words>
  <Characters>4886</Characters>
  <TotalTime>222</TotalTime>
  <ScaleCrop>false</ScaleCrop>
  <LinksUpToDate>false</LinksUpToDate>
  <CharactersWithSpaces>4892</CharactersWithSpaces>
  <Application>WPS Office_11.8.2.10624_F1E327BC-269C-435d-A152-05C5408002CA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2026-04-27T11:33:00Z</dcterms:created>
  <dc:creator>guest</dc:creator>
  <cp:lastModifiedBy>gxxc</cp:lastModifiedBy>
  <dcterms:modified xsi:type="dcterms:W3CDTF">2026-05-11T16:43:38Z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2026-04-27T10:39:31Z</vt:filetime>
  </property>
  <property fmtid="{D5CDD505-2E9C-101B-9397-08002B2CF9AE}" pid="4" name="KSOProductBuildVer">
    <vt:lpwstr>2052-11.8.2.10624</vt:lpwstr>
  </property>
  <property fmtid="{D5CDD505-2E9C-101B-9397-08002B2CF9AE}" pid="5" name="ICV">
    <vt:lpwstr>E476DFB5CD01B64969D6EE69849E9272_43</vt:lpwstr>
  </property>
  <property fmtid="{D5CDD505-2E9C-101B-9397-08002B2CF9AE}" pid="6" name="KSOTemplateDocerSaveRecord">
    <vt:lpwstr>eyJoZGlkIjoiMjA0YWI3OWNjNDczMTAzYjFjNzc3MzkyOGU2YTRlOGMiLCJ1c2VySWQiOiI0MjAxNzg5MjgifQ==</vt:lpwstr>
  </property>
</Properties>
</file>