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pPr>
      <mc:AlternateContent>
        <mc:Choice Requires="wpsCustomData">
          <wpsCustomData:docfieldStart id="0" docfieldname="附件_1" hidden="0" print="1" readonly="0" index="1"/>
        </mc:Choice>
      </mc:AlternateContent>
      <w:r>
        <w:t>附件7</w:t>
      </w:r>
      <mc:AlternateContent>
        <mc:Choice Requires="wpsCustomData">
          <wpsCustomData:docfieldEnd id="0"/>
        </mc:Choice>
      </mc:AlternateContent>
    </w:p>
    <w:p>
      <w:pPr>
        <w:keepNext w:val="0"/>
        <w:keepLines w:val="0"/>
        <w:pageBreakBefore w:val="0"/>
        <w:widowControl w:val="0"/>
        <w:kinsoku/>
        <w:wordWrap/>
        <w:overflowPunct/>
        <w:topLinePunct w:val="0"/>
        <w:bidi w:val="0"/>
        <w:spacing w:line="579" w:lineRule="exact"/>
        <w:jc w:val="center"/>
        <w:textAlignment w:val="auto"/>
        <w:rPr>
          <w:rFonts w:hint="default" w:ascii="Times New Roman" w:hAnsi="Times New Roman" w:eastAsia="方正小标宋简体" w:cs="方正小标宋简体"/>
          <w:color w:val="auto"/>
          <w:sz w:val="44"/>
          <w:szCs w:val="44"/>
          <w:lang w:val="en-US" w:eastAsia="zh-CN"/>
        </w:rPr>
      </w:pPr>
    </w:p>
    <w:p>
      <w:pPr>
        <w:pStyle w:val="19"/>
      </w:pPr>
      <mc:AlternateContent>
        <mc:Choice Requires="wpsCustomData">
          <wpsCustomData:docfieldStart id="1" docfieldname="FJ_1" hidden="0" print="1" readonly="0" index="2"/>
        </mc:Choice>
      </mc:AlternateContent>
      <w:r>
        <w:t>柳州市绿色食品加工产业高质量发展</w:t>
      </w:r>
      <w:r>
        <w:br w:type="textWrapping"/>
      </w:r>
      <w:r>
        <w:t>三年行动方案</w:t>
      </w:r>
    </w:p>
    <mc:AlternateContent>
      <mc:Choice Requires="wpsCustomData">
        <wpsCustomData:docfieldEnd id="1"/>
      </mc:Choice>
    </mc:AlternateContent>
    <w:p>
      <w:pPr>
        <w:pStyle w:val="17"/>
        <w:rPr>
          <w:rFonts w:hint="default"/>
          <w:lang w:val="en-US" w:eastAsia="zh-CN"/>
        </w:rPr>
      </w:pPr>
      <w:r>
        <w:t>（2026－2028年）</w:t>
      </w:r>
      <w:bookmarkStart w:id="0" w:name="_GoBack"/>
      <w:bookmarkEnd w:id="0"/>
    </w:p>
    <w:p>
      <w:pPr>
        <w:rPr>
          <w:rFonts w:hint="default"/>
        </w:rPr>
      </w:pPr>
    </w:p>
    <w:p>
      <w:pPr>
        <w:pStyle w:val="5"/>
        <w:numPr>
          <w:ilvl w:val="0"/>
          <w:numId w:val="0"/>
        </w:numPr>
        <w:topLinePunct w:val="0"/>
        <w:ind w:left="0" w:leftChars="0" w:firstLine="640"/>
        <w:rPr>
          <w:b w:val="0"/>
        </w:rPr>
      </w:pPr>
      <w:r>
        <w:rPr>
          <w:rFonts w:hint="eastAsia"/>
          <w:lang w:eastAsia="zh-CN"/>
        </w:rPr>
        <w:t>一、</w:t>
      </w:r>
      <w:r>
        <w:t>发展思路</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（一）</w:t>
      </w:r>
      <w:r>
        <w:t>指导思想</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我市坚持以工业化理念、互联网思维、全产业链思维三位一体发展柳州特色农业食品产业，突出绿色生态属性，推动农副产品加工、食品制造、饮料、酒及精制茶等细分领域从初加工向精深加工、高附加值制造升级，构建龙头引领、园区承载、品牌赋能、全链贯通的现代化产业体系，打造全市轻工业新增长极、农业现代化强大引擎和“柳州味道”靓丽名片。为全面贯彻落实柳州市“10＋N”现代化工业支柱产业体系，加快绿色食品加工产业高质量发展，结合我市实际，制定本行动方案。</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（二）</w:t>
      </w:r>
      <w:r>
        <w:t>空间布局</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坚持“因地制宜、错位发展、多点支撑”原则，构建“一核引领、五县五区联动”的产业空间格局。</w:t>
      </w:r>
    </w:p>
    <w:p>
      <w:pPr>
        <w:pStyle w:val="14"/>
        <w:numPr>
          <w:ilvl w:val="0"/>
          <w:numId w:val="0"/>
        </w:numPr>
        <w:ind w:left="0" w:leftChars="0" w:firstLine="616"/>
        <w:rPr>
          <w:rFonts w:ascii="Times New Roman" w:hAnsi="Times New Roman" w:eastAsia="仿宋_GB2312" w:cs="仿宋_GB2312"/>
          <w:b w:val="0"/>
          <w:color w:val="auto"/>
          <w:sz w:val="32"/>
          <w:szCs w:val="32"/>
        </w:rPr>
      </w:pPr>
      <w:r>
        <w:rPr>
          <w:rStyle w:val="24"/>
          <w:rFonts w:hint="eastAsia"/>
          <w:lang w:eastAsia="zh-CN"/>
        </w:rPr>
        <w:t>1.</w:t>
      </w:r>
      <w:r>
        <w:rPr>
          <w:rFonts w:hint="eastAsia" w:ascii="仿宋" w:hAnsi="仿宋" w:eastAsia="仿宋" w:cs="仿宋"/>
          <w:spacing w:val="-6"/>
          <w:sz w:val="32"/>
          <w:szCs w:val="32"/>
          <w:lang w:eastAsia="zh-CN"/>
        </w:rPr>
        <w:t xml:space="preserve"> </w:t>
      </w:r>
      <w:r>
        <w:rPr>
          <w:rStyle w:val="24"/>
        </w:rPr>
        <w:t>柳州螺蛳粉全产业链集群</w:t>
      </w:r>
      <w:r>
        <w:rPr>
          <w:rFonts w:ascii="Times New Roman" w:hAnsi="Times New Roman" w:eastAsia="仿宋_GB2312" w:cs="仿宋_GB2312"/>
          <w:color w:val="auto"/>
          <w:sz w:val="32"/>
          <w:szCs w:val="32"/>
        </w:rPr>
        <w:t>。以鱼峰区螺蛳粉产业园为核心，建设集原材料加工、交易、仓储、物流、展示于一体的园区。加快柳州螺蛳粉原材料加工产业园建设，积极引进原材料加工及生产配套企业，拓展预制菜、复合调料等新品类，打造工业文旅精品线路。</w:t>
      </w:r>
    </w:p>
    <w:p>
      <w:pPr>
        <w:pStyle w:val="14"/>
        <w:numPr>
          <w:ilvl w:val="0"/>
          <w:numId w:val="0"/>
        </w:numPr>
        <w:ind w:left="0" w:leftChars="0" w:firstLine="616"/>
        <w:rPr>
          <w:rFonts w:ascii="Times New Roman" w:hAnsi="Times New Roman" w:eastAsia="仿宋_GB2312" w:cs="仿宋_GB2312"/>
          <w:b w:val="0"/>
          <w:color w:val="auto"/>
          <w:sz w:val="32"/>
          <w:szCs w:val="32"/>
        </w:rPr>
      </w:pPr>
      <w:r>
        <w:rPr>
          <w:rStyle w:val="24"/>
          <w:rFonts w:hint="eastAsia"/>
          <w:lang w:eastAsia="zh-CN"/>
        </w:rPr>
        <w:t>2.</w:t>
      </w:r>
      <w:r>
        <w:rPr>
          <w:rFonts w:hint="eastAsia" w:ascii="仿宋" w:hAnsi="仿宋" w:eastAsia="仿宋" w:cs="仿宋"/>
          <w:spacing w:val="-6"/>
          <w:sz w:val="32"/>
          <w:szCs w:val="32"/>
          <w:lang w:eastAsia="zh-CN"/>
        </w:rPr>
        <w:t xml:space="preserve"> </w:t>
      </w:r>
      <w:r>
        <w:rPr>
          <w:rStyle w:val="24"/>
        </w:rPr>
        <w:t>蔗糖产业循环化集群</w:t>
      </w:r>
      <w:r>
        <w:rPr>
          <w:rFonts w:ascii="Times New Roman" w:hAnsi="Times New Roman" w:eastAsia="仿宋_GB2312" w:cs="仿宋_GB2312"/>
          <w:color w:val="auto"/>
          <w:sz w:val="32"/>
          <w:szCs w:val="32"/>
        </w:rPr>
        <w:t>。以柳城县为中心规划建设现代化糖业园区，以广西凤糖、安琪酵母等为龙头，引导制糖产能集约化、智能化发展。构建“蔗→糖→酒→浆→肥”多联产循环产业链，实现资源高效利用和近零排放。</w:t>
      </w:r>
    </w:p>
    <w:p>
      <w:pPr>
        <w:pStyle w:val="14"/>
        <w:numPr>
          <w:ilvl w:val="0"/>
          <w:numId w:val="0"/>
        </w:numPr>
        <w:ind w:left="0" w:leftChars="0" w:firstLine="616"/>
        <w:rPr>
          <w:rFonts w:ascii="Times New Roman" w:hAnsi="Times New Roman" w:eastAsia="仿宋_GB2312" w:cs="仿宋_GB2312"/>
          <w:b w:val="0"/>
          <w:color w:val="auto"/>
          <w:sz w:val="32"/>
          <w:szCs w:val="32"/>
        </w:rPr>
      </w:pPr>
      <w:r>
        <w:rPr>
          <w:rStyle w:val="24"/>
          <w:rFonts w:hint="eastAsia"/>
          <w:lang w:eastAsia="zh-CN"/>
        </w:rPr>
        <w:t>3.</w:t>
      </w:r>
      <w:r>
        <w:rPr>
          <w:rFonts w:hint="eastAsia" w:ascii="仿宋" w:hAnsi="仿宋" w:eastAsia="仿宋" w:cs="仿宋"/>
          <w:spacing w:val="-6"/>
          <w:sz w:val="32"/>
          <w:szCs w:val="32"/>
          <w:lang w:eastAsia="zh-CN"/>
        </w:rPr>
        <w:t xml:space="preserve"> </w:t>
      </w:r>
      <w:r>
        <w:rPr>
          <w:rStyle w:val="24"/>
        </w:rPr>
        <w:t>肉类加工与预制菜产业集群</w:t>
      </w:r>
      <w:r>
        <w:rPr>
          <w:rFonts w:ascii="Times New Roman" w:hAnsi="Times New Roman" w:eastAsia="仿宋_GB2312" w:cs="仿宋_GB2312"/>
          <w:color w:val="auto"/>
          <w:sz w:val="32"/>
          <w:szCs w:val="32"/>
        </w:rPr>
        <w:t>。依托柳南区桂味联智慧冷链高端食品产业园，构建“特色饲料（利用糖蜜、豆渣等）→屠宰→加工→冷链配送”闭环产业链。推广使用柳城、鹿寨等地制糖、食品加工副产物生产环保饲料。引入中央厨房、速冻食品加工等项目，培育“柳州菜”预制菜公共品牌。</w:t>
      </w:r>
    </w:p>
    <w:p>
      <w:pPr>
        <w:pStyle w:val="14"/>
        <w:numPr>
          <w:ilvl w:val="0"/>
          <w:numId w:val="0"/>
        </w:numPr>
        <w:ind w:left="0" w:leftChars="0" w:firstLine="616"/>
        <w:rPr>
          <w:rFonts w:ascii="Times New Roman" w:hAnsi="Times New Roman" w:eastAsia="仿宋_GB2312" w:cs="仿宋_GB2312"/>
          <w:b w:val="0"/>
          <w:color w:val="auto"/>
          <w:sz w:val="32"/>
          <w:szCs w:val="32"/>
        </w:rPr>
      </w:pPr>
      <w:r>
        <w:rPr>
          <w:rStyle w:val="24"/>
          <w:rFonts w:hint="eastAsia"/>
          <w:lang w:eastAsia="zh-CN"/>
        </w:rPr>
        <w:t>4.</w:t>
      </w:r>
      <w:r>
        <w:rPr>
          <w:rFonts w:hint="eastAsia" w:ascii="仿宋" w:hAnsi="仿宋" w:eastAsia="仿宋" w:cs="仿宋"/>
          <w:spacing w:val="-6"/>
          <w:sz w:val="32"/>
          <w:szCs w:val="32"/>
          <w:lang w:eastAsia="zh-CN"/>
        </w:rPr>
        <w:t xml:space="preserve"> </w:t>
      </w:r>
      <w:r>
        <w:rPr>
          <w:rStyle w:val="24"/>
        </w:rPr>
        <w:t>三江茶产业集群</w:t>
      </w:r>
      <w:r>
        <w:rPr>
          <w:rFonts w:ascii="Times New Roman" w:hAnsi="Times New Roman" w:eastAsia="仿宋_GB2312" w:cs="仿宋_GB2312"/>
          <w:color w:val="auto"/>
          <w:sz w:val="32"/>
          <w:szCs w:val="32"/>
        </w:rPr>
        <w:t>。以三江县为核心，聚焦茶叶精深加工。延伸茶饮料、茶保健品等产业链，建设“种植＋加工＋文旅”融合示范区，打响“三江早春茶”品牌。</w:t>
      </w:r>
    </w:p>
    <w:p>
      <w:pPr>
        <w:pStyle w:val="14"/>
        <w:widowControl/>
        <w:numPr>
          <w:ilvl w:val="0"/>
          <w:numId w:val="0"/>
        </w:numPr>
        <w:ind w:left="0" w:leftChars="0" w:firstLine="616"/>
        <w:rPr>
          <w:rFonts w:ascii="Times New Roman" w:hAnsi="Times New Roman" w:eastAsia="仿宋_GB2312" w:cs="仿宋_GB2312"/>
          <w:b w:val="0"/>
          <w:color w:val="auto"/>
          <w:sz w:val="32"/>
          <w:szCs w:val="32"/>
        </w:rPr>
      </w:pPr>
      <w:r>
        <w:rPr>
          <w:rStyle w:val="24"/>
          <w:rFonts w:hint="eastAsia"/>
          <w:lang w:eastAsia="zh-CN"/>
        </w:rPr>
        <w:t>5.</w:t>
      </w:r>
      <w:r>
        <w:rPr>
          <w:rFonts w:hint="eastAsia" w:ascii="仿宋" w:hAnsi="仿宋" w:eastAsia="仿宋" w:cs="仿宋"/>
          <w:spacing w:val="-6"/>
          <w:sz w:val="32"/>
          <w:szCs w:val="32"/>
          <w:lang w:eastAsia="zh-CN"/>
        </w:rPr>
        <w:t xml:space="preserve"> </w:t>
      </w:r>
      <w:r>
        <w:rPr>
          <w:rStyle w:val="24"/>
        </w:rPr>
        <w:t>特色果品与特色农产品精深加工集群</w:t>
      </w:r>
      <w:r>
        <w:rPr>
          <w:rFonts w:ascii="Times New Roman" w:hAnsi="Times New Roman" w:eastAsia="仿宋_GB2312" w:cs="仿宋_GB2312"/>
          <w:color w:val="auto"/>
          <w:sz w:val="32"/>
          <w:szCs w:val="32"/>
        </w:rPr>
        <w:t>。</w:t>
      </w:r>
      <w:r>
        <w:rPr>
          <w:rFonts w:ascii="Times New Roman" w:hAnsi="Times New Roman" w:eastAsia="仿宋_GB2312" w:cs="仿宋_GB2312"/>
          <w:i w:val="0"/>
          <w:color w:val="auto"/>
          <w:sz w:val="32"/>
          <w:szCs w:val="32"/>
        </w:rPr>
        <w:t>以融安县为龙头、辐射各县区协同发展，聚焦高附加值精深加工。融安县重点开发金桔保鲜、金桔代餐粉等系列产品；柳城、柳江、鹿寨依托果蔬资源，发展冻干食品、果醋、果酒、植物精油等深加工产品；融水做强灵芝等药食同源食品精深加工，构建 “公司＋合作社” 全链条加工体系。同步提升柳城云片糕等老字号标准化、品牌化、规模化水平，打造特色农产品精深加工高地。</w:t>
      </w:r>
    </w:p>
    <w:p>
      <w:pPr>
        <w:pStyle w:val="14"/>
        <w:numPr>
          <w:ilvl w:val="0"/>
          <w:numId w:val="0"/>
        </w:numPr>
        <w:ind w:left="0" w:leftChars="0" w:firstLine="616"/>
        <w:rPr>
          <w:rFonts w:ascii="Times New Roman" w:hAnsi="Times New Roman" w:eastAsia="仿宋_GB2312" w:cs="仿宋_GB2312"/>
          <w:b w:val="0"/>
          <w:color w:val="auto"/>
          <w:sz w:val="32"/>
          <w:szCs w:val="32"/>
        </w:rPr>
      </w:pPr>
      <w:r>
        <w:rPr>
          <w:rStyle w:val="24"/>
          <w:rFonts w:hint="eastAsia"/>
          <w:lang w:eastAsia="zh-CN"/>
        </w:rPr>
        <w:t>6.</w:t>
      </w:r>
      <w:r>
        <w:rPr>
          <w:rFonts w:hint="eastAsia" w:ascii="仿宋" w:hAnsi="仿宋" w:eastAsia="仿宋" w:cs="仿宋"/>
          <w:spacing w:val="-6"/>
          <w:sz w:val="32"/>
          <w:szCs w:val="32"/>
          <w:lang w:eastAsia="zh-CN"/>
        </w:rPr>
        <w:t xml:space="preserve"> </w:t>
      </w:r>
      <w:r>
        <w:rPr>
          <w:rStyle w:val="24"/>
        </w:rPr>
        <w:t>饮用水规模化开发集群</w:t>
      </w:r>
      <w:r>
        <w:rPr>
          <w:rFonts w:ascii="Times New Roman" w:hAnsi="Times New Roman" w:eastAsia="仿宋_GB2312" w:cs="仿宋_GB2312"/>
          <w:color w:val="auto"/>
          <w:sz w:val="32"/>
          <w:szCs w:val="32"/>
        </w:rPr>
        <w:t>。统筹全市山泉水、矿泉水资源，在优质水源地布局瓶装水、天然饮用水产业集群，打造规模化、品牌化的高端水产品。</w:t>
      </w:r>
    </w:p>
    <w:p>
      <w:pPr>
        <w:pStyle w:val="14"/>
        <w:numPr>
          <w:ilvl w:val="0"/>
          <w:numId w:val="0"/>
        </w:numPr>
        <w:ind w:left="0" w:leftChars="0" w:firstLine="616"/>
        <w:rPr>
          <w:rFonts w:ascii="Times New Roman" w:hAnsi="Times New Roman" w:eastAsia="仿宋_GB2312" w:cs="仿宋_GB2312"/>
          <w:b w:val="0"/>
          <w:color w:val="auto"/>
          <w:sz w:val="32"/>
          <w:szCs w:val="32"/>
        </w:rPr>
      </w:pPr>
      <w:r>
        <w:rPr>
          <w:rStyle w:val="24"/>
          <w:rFonts w:hint="eastAsia"/>
          <w:lang w:eastAsia="zh-CN"/>
        </w:rPr>
        <w:t>7.</w:t>
      </w:r>
      <w:r>
        <w:rPr>
          <w:rFonts w:hint="eastAsia" w:ascii="仿宋" w:hAnsi="仿宋" w:eastAsia="仿宋" w:cs="仿宋"/>
          <w:spacing w:val="-6"/>
          <w:sz w:val="32"/>
          <w:szCs w:val="32"/>
          <w:lang w:eastAsia="zh-CN"/>
        </w:rPr>
        <w:t xml:space="preserve"> </w:t>
      </w:r>
      <w:r>
        <w:rPr>
          <w:rStyle w:val="24"/>
        </w:rPr>
        <w:t>智慧渔业与水产品加工集群</w:t>
      </w:r>
      <w:r>
        <w:rPr>
          <w:rFonts w:ascii="Times New Roman" w:hAnsi="Times New Roman" w:eastAsia="仿宋_GB2312" w:cs="仿宋_GB2312"/>
          <w:color w:val="auto"/>
          <w:sz w:val="32"/>
          <w:szCs w:val="32"/>
        </w:rPr>
        <w:t>。以柳江区AI设施渔业示范基地为核心，推广智能化绿色养殖。补齐水产品精深加工短板，开发预制水产品、休闲食品等，延伸产业链条。</w:t>
      </w:r>
    </w:p>
    <w:p>
      <w:pPr>
        <w:pStyle w:val="5"/>
        <w:numPr>
          <w:ilvl w:val="0"/>
          <w:numId w:val="0"/>
        </w:numPr>
        <w:topLinePunct w:val="0"/>
        <w:ind w:left="0" w:leftChars="0" w:firstLine="640"/>
        <w:rPr>
          <w:b w:val="0"/>
        </w:rPr>
      </w:pPr>
      <w:r>
        <w:rPr>
          <w:rFonts w:hint="eastAsia"/>
          <w:lang w:eastAsia="zh-CN"/>
        </w:rPr>
        <w:t>二、</w:t>
      </w:r>
      <w:r>
        <w:t>发展目标</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坚持以高目标牵引高质量发展，实现产业规模、企业能级、品牌效益的全面提升。</w:t>
      </w:r>
    </w:p>
    <w:p>
      <w:pPr>
        <w:pStyle w:val="6"/>
        <w:numPr>
          <w:ilvl w:val="0"/>
          <w:numId w:val="0"/>
        </w:numPr>
        <w:topLinePunct w:val="0"/>
        <w:ind w:left="0" w:leftChars="0" w:firstLine="640"/>
        <w:rPr>
          <w:b w:val="0"/>
        </w:rPr>
      </w:pPr>
      <w:r>
        <w:rPr>
          <w:rFonts w:hint="eastAsia"/>
          <w:lang w:eastAsia="zh-CN"/>
        </w:rPr>
        <w:t>（一）</w:t>
      </w:r>
      <w:r>
        <w:t>2028年（三年行动目标）</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规上工业产值突破450亿元，年均增速达11％；规上绿色食品加工企业达150家以上，其中产值超10亿元企业不少于6家；形成螺蛳粉、肉类加工预制菜、蔗糖循环、茶叶、饮用水、特色果品、智慧渔业七大优势产业集群。</w:t>
      </w:r>
    </w:p>
    <w:p>
      <w:pPr>
        <w:pStyle w:val="6"/>
        <w:numPr>
          <w:ilvl w:val="0"/>
          <w:numId w:val="0"/>
        </w:numPr>
        <w:topLinePunct w:val="0"/>
        <w:ind w:left="0" w:leftChars="0" w:firstLine="640"/>
        <w:rPr>
          <w:b w:val="0"/>
        </w:rPr>
      </w:pPr>
      <w:r>
        <w:rPr>
          <w:rFonts w:hint="eastAsia"/>
          <w:lang w:eastAsia="zh-CN"/>
        </w:rPr>
        <w:t>（二）</w:t>
      </w:r>
      <w:r>
        <w:t>2030年（五年远景目标）</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规上工业产值冲刺550亿元；规上企业达180家，其中产值超10亿元企业达8家；建成完整的产业链、品牌体系和冷链物流网络；打造一批全国知名的区域公共品牌与企业品牌。</w:t>
      </w:r>
    </w:p>
    <w:p>
      <w:pPr>
        <w:pStyle w:val="5"/>
        <w:numPr>
          <w:ilvl w:val="0"/>
          <w:numId w:val="0"/>
        </w:numPr>
        <w:topLinePunct w:val="0"/>
        <w:ind w:left="0" w:leftChars="0" w:firstLine="640"/>
        <w:rPr>
          <w:b w:val="0"/>
        </w:rPr>
      </w:pPr>
      <w:r>
        <w:rPr>
          <w:rFonts w:hint="eastAsia"/>
          <w:lang w:eastAsia="zh-CN"/>
        </w:rPr>
        <w:t>三、</w:t>
      </w:r>
      <w:r>
        <w:t>主要任务</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（一）</w:t>
      </w:r>
      <w:r>
        <w:t>推动龙头企业壮大规模</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制定《龙头企业重点跟踪记录表》，定期跟进和回访龙头企业，做好企业服务和需求解决。紧盯产业链环节，实施分级分类培育，推动企业规模上台阶。不断推进绿色食品加工企业数智化升级改造，到2028年，力争打造智能工厂和数字化车间10家，入选3个“数字三品”应用场景典型案例，绿色食品加工业10亿元以上龙头企业6家。（牵头单位：市工业和信息化局，配合单位：市农业农村局、市市场监督管理局、市财政局、市商务局，各县（区）人民政府）</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（二）</w:t>
      </w:r>
      <w:r>
        <w:t>打造完整的产业链体系</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加快发展产业链上下游配套产业，重点招商引入和培育精深加工、分装机器人、包装材料等企业，打造原材料产业化、生产智能化、销售信息化的产业体系。支持龙头企业全产业链融合发展，培育建设全产业链企业集团，鼓励企业按照“总部＋基地”模式，建设原料供应基地、原材料深加工基地、分销中心、研发中心、电商销售中心等。推动“食品工业＋文旅”融合发展，积极培育、打造以柳州螺蛳粉工业文化体验精品线路为代表的食品工业旅游路线。（牵头单位：市工业和信息化局，配合单位：市农业农村局、市商务局、市投资促进局、市文化广电和旅游局、市市场监督管理局，各县（区）人民政府）</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（三）</w:t>
      </w:r>
      <w:r>
        <w:t>提升园区产业集群承载力</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加大对现有特色食品工业园区基础设施建设支持力度，引导绿色食品加工企业向园区集聚，实现产业园区产值规模稳步提升。重点将柳州螺蛳粉产业园、柳州螺蛳粉生产集聚区打造成为集产品研发、检验、展示、电商、物流、旅游观光于一体的示范性食品产业园。加强对传统优势食品产区产业发展的高水平规划布局，鼓励特色资源富集区域依托当地产业园区打造中小企业特色产业集群和特色产业集聚区，积极培育自治区级及以上传统优势食品产区和地方特色食品产业。（牵头单位：市园区办，配合单位：市工业和信息化局、市财政局、市市场监督管理局、市商务局、市文化广电和旅游局，各县（区）人民政府）</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（四）</w:t>
      </w:r>
      <w:r>
        <w:t>推动企业创新升级</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不断推动产学研合作，支持企业与中国科学院、广西大学等区内外大院大所深度合作，推动产品研发、品质升级和技术创新。积极争取自治区工业振兴资金和柳州市稳增长政策资金，支持绿色食品企业实施技术改造和设备更新，加快工艺适应性改造，不断提升装备水平，推动产业实现降本增效。支持糖企新建或改造卸蔗平台和除杂系统，并给予资金补贴，不断提升制糖产业的机械化收获水平。加快完善地方特色食品产业人才培养体系，借助高校、科研院所等资源，培养广西特色食品产业发展亟需的专业人才。（牵头单位：市科技局、市工业和信息化局，配合单位：市财政局、市人力资源和社会保障局、市教育局，各县（区）人民政府）</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（五）</w:t>
      </w:r>
      <w:r>
        <w:t>加强企业品牌培育</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引导企业加强优质产品认定，利用社交媒体、行业展会、内容营销等方式，提升品牌曝光率。分级打造消费名品方阵，从历史经典、时代优品、潮流新锐三个维度，指导县区和企业申报中国、广西消费名品，不断构建消费名品体系。到2028年，力争5个企业品牌和1个区域品牌列入广西消费名品方阵。积极推进柳州螺蛳粉、三江茶和融安金桔等国家地理标志产品保护示范区建设，加强地理标志培育、运用、保护，引导企业开展商标品牌价值提升。（牵头单位：市市场监督管理局，配合单位：市工业和信息化局、市商务局，各县（区）人民政府）</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（六）</w:t>
      </w:r>
      <w:r>
        <w:t>助力企业开拓市场</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以市场为导向，利用“互联网＋”销售模式，打造线上线下结合的双销售线路。用好用足中国－东盟博览会、全国糖烟酒会等各类国内外大型展会资源，组织对接会、洽谈会、展销会、采购会等活动，发挥联结内外作用，打好“合作牌”，深化拓展特色食品领域交流合作，多层次、全方位宣传推介特色食品，服务供需匹配，促进产销衔接。（牵头单位：市商务局、市农业农村局，配合单位：市工业和信息化局、市财政局，各县（区）人民政府）</w:t>
      </w:r>
    </w:p>
    <w:p>
      <w:pPr>
        <w:pStyle w:val="5"/>
        <w:numPr>
          <w:ilvl w:val="0"/>
          <w:numId w:val="0"/>
        </w:numPr>
        <w:topLinePunct w:val="0"/>
        <w:ind w:left="0" w:leftChars="0" w:firstLine="640"/>
        <w:rPr>
          <w:b w:val="0"/>
        </w:rPr>
      </w:pPr>
      <w:r>
        <w:rPr>
          <w:rFonts w:hint="eastAsia"/>
          <w:lang w:eastAsia="zh-CN"/>
        </w:rPr>
        <w:t>四、</w:t>
      </w:r>
      <w:r>
        <w:t>重点项目</w:t>
      </w:r>
    </w:p>
    <w:p>
      <w:pPr>
        <w:pStyle w:val="14"/>
        <w:numPr>
          <w:ilvl w:val="0"/>
          <w:numId w:val="0"/>
        </w:numPr>
        <w:ind w:left="0" w:leftChars="0" w:firstLine="616"/>
        <w:rPr>
          <w:rFonts w:ascii="Times New Roman" w:hAnsi="Times New Roman" w:eastAsia="仿宋_GB2312" w:cs="仿宋_GB2312"/>
          <w:b w:val="0"/>
          <w:color w:val="auto"/>
          <w:sz w:val="32"/>
          <w:szCs w:val="32"/>
        </w:rPr>
      </w:pPr>
      <w:r>
        <w:rPr>
          <w:rFonts w:hint="eastAsia" w:cs="仿宋_GB2312"/>
          <w:color w:val="auto"/>
          <w:sz w:val="32"/>
          <w:szCs w:val="32"/>
          <w:lang w:eastAsia="zh-CN"/>
        </w:rPr>
        <w:t>（一）</w:t>
      </w:r>
      <w:r>
        <w:rPr>
          <w:rFonts w:ascii="Times New Roman" w:hAnsi="Times New Roman" w:eastAsia="仿宋_GB2312" w:cs="仿宋_GB2312"/>
          <w:color w:val="auto"/>
          <w:sz w:val="32"/>
          <w:szCs w:val="32"/>
        </w:rPr>
        <w:t>安琪酵母年产2万吨酵母蛋白绿色制造项目（柳城县，总投资10亿元，2028年底竣工，达产年产值10亿元）</w:t>
      </w:r>
    </w:p>
    <w:p>
      <w:pPr>
        <w:pStyle w:val="14"/>
        <w:numPr>
          <w:ilvl w:val="0"/>
          <w:numId w:val="0"/>
        </w:numPr>
        <w:ind w:left="0" w:leftChars="0" w:firstLine="616"/>
        <w:rPr>
          <w:rFonts w:ascii="Times New Roman" w:hAnsi="Times New Roman" w:eastAsia="仿宋_GB2312" w:cs="仿宋_GB2312"/>
          <w:b w:val="0"/>
          <w:color w:val="auto"/>
          <w:sz w:val="32"/>
          <w:szCs w:val="32"/>
        </w:rPr>
      </w:pPr>
      <w:r>
        <w:rPr>
          <w:rFonts w:hint="eastAsia" w:cs="仿宋_GB2312"/>
          <w:color w:val="auto"/>
          <w:sz w:val="32"/>
          <w:szCs w:val="32"/>
          <w:lang w:eastAsia="zh-CN"/>
        </w:rPr>
        <w:t>（二）</w:t>
      </w:r>
      <w:r>
        <w:rPr>
          <w:rFonts w:ascii="Times New Roman" w:hAnsi="Times New Roman" w:eastAsia="仿宋_GB2312" w:cs="仿宋_GB2312"/>
          <w:color w:val="auto"/>
          <w:sz w:val="32"/>
          <w:szCs w:val="32"/>
        </w:rPr>
        <w:t>鱼峰区里雍镇蛋鸡智能产业园项目（鱼峰区，总投资8.8亿元，2029年底竣工，达产年产值13亿元）</w:t>
      </w:r>
    </w:p>
    <w:p>
      <w:pPr>
        <w:pStyle w:val="14"/>
        <w:numPr>
          <w:ilvl w:val="0"/>
          <w:numId w:val="0"/>
        </w:numPr>
        <w:ind w:left="0" w:leftChars="0" w:firstLine="616"/>
        <w:rPr>
          <w:rFonts w:ascii="Times New Roman" w:hAnsi="Times New Roman" w:eastAsia="仿宋_GB2312" w:cs="仿宋_GB2312"/>
          <w:b w:val="0"/>
          <w:color w:val="auto"/>
          <w:sz w:val="32"/>
          <w:szCs w:val="32"/>
        </w:rPr>
      </w:pPr>
      <w:r>
        <w:rPr>
          <w:rFonts w:hint="eastAsia" w:cs="仿宋_GB2312"/>
          <w:color w:val="auto"/>
          <w:sz w:val="32"/>
          <w:szCs w:val="32"/>
          <w:lang w:eastAsia="zh-CN"/>
        </w:rPr>
        <w:t>（三）</w:t>
      </w:r>
      <w:r>
        <w:rPr>
          <w:rFonts w:ascii="Times New Roman" w:hAnsi="Times New Roman" w:eastAsia="仿宋_GB2312" w:cs="仿宋_GB2312"/>
          <w:color w:val="auto"/>
          <w:sz w:val="32"/>
          <w:szCs w:val="32"/>
        </w:rPr>
        <w:t>桂味联智慧冷链高端食品产业园项目（二、三期）（柳南区，总投资9亿元，达产年产值35亿元）</w:t>
      </w:r>
    </w:p>
    <w:p>
      <w:pPr>
        <w:pStyle w:val="14"/>
        <w:numPr>
          <w:ilvl w:val="0"/>
          <w:numId w:val="0"/>
        </w:numPr>
        <w:ind w:left="0" w:leftChars="0" w:firstLine="616"/>
        <w:rPr>
          <w:rFonts w:ascii="Times New Roman" w:hAnsi="Times New Roman" w:eastAsia="仿宋_GB2312" w:cs="仿宋_GB2312"/>
          <w:b w:val="0"/>
          <w:color w:val="auto"/>
          <w:sz w:val="32"/>
          <w:szCs w:val="32"/>
        </w:rPr>
      </w:pPr>
      <w:r>
        <w:rPr>
          <w:rFonts w:hint="eastAsia" w:cs="仿宋_GB2312"/>
          <w:color w:val="auto"/>
          <w:sz w:val="32"/>
          <w:szCs w:val="32"/>
          <w:lang w:eastAsia="zh-CN"/>
        </w:rPr>
        <w:t>（四）</w:t>
      </w:r>
      <w:r>
        <w:rPr>
          <w:rFonts w:ascii="Times New Roman" w:hAnsi="Times New Roman" w:eastAsia="仿宋_GB2312" w:cs="仿宋_GB2312"/>
          <w:color w:val="auto"/>
          <w:sz w:val="32"/>
          <w:szCs w:val="32"/>
        </w:rPr>
        <w:t>畜禽屠宰与肉类加工及冷链物流配送一体化项目（柳东新区，总投资2亿元，2026年6月竣工，达产年产值20亿元）</w:t>
      </w:r>
    </w:p>
    <w:p>
      <w:pPr>
        <w:pStyle w:val="14"/>
        <w:numPr>
          <w:ilvl w:val="0"/>
          <w:numId w:val="0"/>
        </w:numPr>
        <w:ind w:left="0" w:leftChars="0" w:firstLine="616"/>
        <w:rPr>
          <w:rFonts w:ascii="Times New Roman" w:hAnsi="Times New Roman" w:eastAsia="仿宋_GB2312" w:cs="仿宋_GB2312"/>
          <w:b w:val="0"/>
          <w:color w:val="auto"/>
          <w:sz w:val="32"/>
          <w:szCs w:val="32"/>
        </w:rPr>
      </w:pPr>
      <w:r>
        <w:rPr>
          <w:rFonts w:hint="eastAsia" w:cs="仿宋_GB2312"/>
          <w:color w:val="auto"/>
          <w:sz w:val="32"/>
          <w:szCs w:val="32"/>
          <w:lang w:eastAsia="zh-CN"/>
        </w:rPr>
        <w:t>（五）</w:t>
      </w:r>
      <w:r>
        <w:rPr>
          <w:rFonts w:ascii="Times New Roman" w:hAnsi="Times New Roman" w:eastAsia="仿宋_GB2312" w:cs="仿宋_GB2312"/>
          <w:color w:val="auto"/>
          <w:sz w:val="32"/>
          <w:szCs w:val="32"/>
        </w:rPr>
        <w:t>乐哈哈米粉科技产业园项目（柳江区，总投资2亿元，2027年1月竣工，达产年产值5亿元）</w:t>
      </w:r>
    </w:p>
    <w:p>
      <w:pPr>
        <w:pStyle w:val="14"/>
        <w:numPr>
          <w:ilvl w:val="0"/>
          <w:numId w:val="0"/>
        </w:numPr>
        <w:ind w:left="0" w:leftChars="0" w:firstLine="616"/>
        <w:rPr>
          <w:rFonts w:ascii="Times New Roman" w:hAnsi="Times New Roman" w:eastAsia="仿宋_GB2312" w:cs="仿宋_GB2312"/>
          <w:b w:val="0"/>
          <w:color w:val="auto"/>
          <w:sz w:val="32"/>
          <w:szCs w:val="32"/>
        </w:rPr>
      </w:pPr>
      <w:r>
        <w:rPr>
          <w:rFonts w:hint="eastAsia" w:cs="仿宋_GB2312"/>
          <w:color w:val="auto"/>
          <w:sz w:val="32"/>
          <w:szCs w:val="32"/>
          <w:lang w:eastAsia="zh-CN"/>
        </w:rPr>
        <w:t>（六）</w:t>
      </w:r>
      <w:r>
        <w:rPr>
          <w:rFonts w:ascii="Times New Roman" w:hAnsi="Times New Roman" w:eastAsia="仿宋_GB2312" w:cs="仿宋_GB2312"/>
          <w:color w:val="auto"/>
          <w:sz w:val="32"/>
          <w:szCs w:val="32"/>
        </w:rPr>
        <w:t>龙韬米业水稻种植精深加工一体化项目（鹿寨县，总投资2.5亿元，2027年1月竣工，达产年产值2.5亿元）</w:t>
      </w:r>
    </w:p>
    <w:p>
      <w:pPr>
        <w:pStyle w:val="14"/>
        <w:numPr>
          <w:ilvl w:val="0"/>
          <w:numId w:val="0"/>
        </w:numPr>
        <w:ind w:left="0" w:leftChars="0" w:firstLine="616"/>
        <w:rPr>
          <w:rFonts w:ascii="Times New Roman" w:hAnsi="Times New Roman" w:eastAsia="仿宋_GB2312" w:cs="仿宋_GB2312"/>
          <w:b w:val="0"/>
          <w:color w:val="auto"/>
          <w:sz w:val="32"/>
          <w:szCs w:val="32"/>
        </w:rPr>
      </w:pPr>
      <w:r>
        <w:rPr>
          <w:rFonts w:hint="eastAsia" w:cs="仿宋_GB2312"/>
          <w:color w:val="auto"/>
          <w:sz w:val="32"/>
          <w:szCs w:val="32"/>
          <w:lang w:eastAsia="zh-CN"/>
        </w:rPr>
        <w:t>（七）</w:t>
      </w:r>
      <w:r>
        <w:rPr>
          <w:rFonts w:ascii="Times New Roman" w:hAnsi="Times New Roman" w:eastAsia="仿宋_GB2312" w:cs="仿宋_GB2312"/>
          <w:color w:val="auto"/>
          <w:sz w:val="32"/>
          <w:szCs w:val="32"/>
        </w:rPr>
        <w:t>螺蛳粉食材数字化交易与深加工项目（鱼峰区，由中应投资、上海麦金地、广西菜冠联合投资，总投资12亿元，达产年产值30亿元）</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以上7个项目计划总投资46.3亿元，全部达产后预计年新增产值115.5亿元，将成为推动绿色食品加工产业高质量发展的重要支撑。</w:t>
      </w:r>
    </w:p>
    <w:p>
      <w:pPr>
        <w:pStyle w:val="5"/>
        <w:numPr>
          <w:ilvl w:val="0"/>
          <w:numId w:val="0"/>
        </w:numPr>
        <w:topLinePunct w:val="0"/>
        <w:ind w:left="0" w:leftChars="0" w:firstLine="640"/>
        <w:rPr>
          <w:b w:val="0"/>
        </w:rPr>
      </w:pPr>
      <w:r>
        <w:rPr>
          <w:rFonts w:hint="eastAsia"/>
          <w:lang w:eastAsia="zh-CN"/>
        </w:rPr>
        <w:t>五、</w:t>
      </w:r>
      <w:r>
        <w:t>保障措施</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（一）</w:t>
      </w:r>
      <w:r>
        <w:t>加强组织领导</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依托绿色食品加工产业攻坚小组，强化部门协同与市县联动，统筹推进重大政策制定、重大工程落实、重点项目建设。落实“1071”产业发展推进机制、“1330”工作落实闭环机制，通过市县（区）联动、政企互动、部门协同，汇聚各方力量，共同谋划发展思路、协调解决困难问题，合力推进产业高质量发展。</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（二）</w:t>
      </w:r>
      <w:r>
        <w:t>强化考核督导</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实行项目全周期管理，围绕重点任务及保障措施建立项目清单，逐一明确责任人与落地时间，杜绝项目待定。对县区上报的洽谈类、谋划类项目数据逐一核实，确保真实可落地、可统计，防止“两张皮”。各部门要协同作战，以钉钉子精神加快节奏，推动产业高质量发展。</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（三）</w:t>
      </w:r>
      <w:r>
        <w:t>强化政策支持</w:t>
      </w:r>
    </w:p>
    <w:p>
      <w:pPr>
        <w:pStyle w:val="14"/>
        <w:widowControl/>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用好用足用活各项政策，落实好中国－东盟产业合作区协同发展区“五免五减半”政策、自治区支持柳州市的一揽子化债政策、《金融支持柳州市制造业高质量发展若干措施》和“柳州工业贷”等政策，结合产业引导基金集群，撬动更多社会资本投向绿色食品加工产业链。统筹上级和柳州市相关财政资金和专项</w:t>
      </w:r>
      <w:r>
        <w:rPr>
          <w:rFonts w:ascii="Times New Roman" w:hAnsi="Times New Roman" w:eastAsia="仿宋_GB2312" w:cs="仿宋_GB2312"/>
          <w:i w:val="0"/>
          <w:color w:val="auto"/>
          <w:sz w:val="32"/>
          <w:szCs w:val="32"/>
        </w:rPr>
        <w:t>债券资金</w:t>
      </w:r>
      <w:r>
        <w:rPr>
          <w:rFonts w:ascii="Times New Roman" w:hAnsi="Times New Roman" w:eastAsia="仿宋_GB2312" w:cs="仿宋_GB2312"/>
          <w:color w:val="auto"/>
          <w:sz w:val="32"/>
          <w:szCs w:val="32"/>
        </w:rPr>
        <w:t>，对重大项目建设、特色产业集群培育、食品制造关键技术创新、工业设计成果转化等关键环节给予支持。鼓励各县区针对本地特色绿色食品优势资源，从土地、金融、水电费用以及劳动力就业等方面给予政策扶持。</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（四）</w:t>
      </w:r>
      <w:r>
        <w:t>加强食品安全监管</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落实食品安全主体责任，指导企业依据产品特点制定风险管控清单开展自查，防范食品安全风险。鼓励企业按照良好生产规范要求，实施GB／T19000系列质量管理体系、ISO22000食品安全管理体系、危害分析和关键控制点（HACCP）体系认证。完善特色绿色食品产地准出、市场准入和出口海外的衔接机制，综合运用食品安全智慧监管平台，构建“农田—市场—餐桌”绿色食品全链条数字化追溯机制。</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（五）</w:t>
      </w:r>
      <w:r>
        <w:t>持续营造良好氛围</w:t>
      </w:r>
      <w:r>
        <w:tab/>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加强产业政策、发展成效、典型案例的宣传解读，充分利用各类媒体平台，全方位展示我市绿色食品加工产业发展成果、良好生态与投资机遇，凝聚全社会关心支持产业发展的共识。大力弘扬企业家精神、工匠精神和创新精神，激励企业敢闯敢干、敢为人先，激发市场主体创新创业活力。持续优化营商环境，构建亲清统一的新型政商关系，畅通政企沟通渠道，形成上下同心、齐抓共促、竞相发展的良好局面。</w:t>
      </w:r>
    </w:p>
    <w:p>
      <w:pPr>
        <w:pStyle w:val="14"/>
        <w:bidi w:val="0"/>
      </w:pPr>
    </w:p>
    <w:p>
      <w:pPr>
        <w:pStyle w:val="14"/>
        <w:bidi w:val="0"/>
      </w:pPr>
    </w:p>
    <w:sectPr>
      <w:headerReference r:id="rId3" w:type="default"/>
      <w:footerReference r:id="rId5" w:type="default"/>
      <w:headerReference r:id="rId4" w:type="even"/>
      <w:footerReference r:id="rId6" w:type="even"/>
      <w:pgSz w:w="11906" w:h="16838"/>
      <w:pgMar w:top="2098" w:right="1474" w:bottom="1984" w:left="1587" w:header="851" w:footer="1417" w:gutter="0"/>
      <w:pgNumType w:fmt="decimal" w:start="1"/>
      <w:cols w:space="425" w:num="1"/>
      <w:docGrid w:type="linesAndChars" w:linePitch="579" w:charSpace="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- 1 -</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BqVKztYAAAAGAQAADwAAAAAAAAABACAAAAA4AAAAZHJzL2Rvd25yZXYueG1sUEsB&#10;AhQAFAAAAAgAh07iQJICVuMaAgAAHQQAAA4AAAAAAAAAAQAgAAAAOwEAAGRycy9lMm9Eb2MueG1s&#10;UEsFBgAAAAAGAAYAWQEAAMcFAAAAAA==&#10;">
              <v:fill on="f" focussize="0,0"/>
              <v:stroke on="f" weight="0.5pt"/>
              <v:imagedata o:title=""/>
              <o:lock v:ext="edit" aspectratio="f"/>
              <v:textbox inset="16pt,0mm,16pt,0mm" style="mso-fit-shape-to-text:t;">
                <w:txbxContent>
                  <w:p>
                    <w:pPr>
                      <w:pStyle w:val="15"/>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- 1 -</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r>
      <w:rPr>
        <w:rFonts w:hint="eastAsia"/>
        <w:lang w:eastAsia="zh-CN"/>
      </w:rPr>
      <w:tab/>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WAAAAZHJzL1BLAQIUABQA&#10;AAAIAIdO4kAGpUrO1gAAAAYBAAAPAAAAAAAAAAEAIAAAADgAAABkcnMvZG93bnJldi54bWxQSwEC&#10;FAAUAAAACACHTuJA7fITVRkCAAAdBAAADgAAAAAAAAABACAAAAA7AQAAZHJzL2Uyb0RvYy54bWxQ&#10;SwUGAAAAAAYABgBZAQAAxgUAAAAA&#10;">
              <v:fill on="f" focussize="0,0"/>
              <v:stroke on="f" weight="0.5pt"/>
              <v:imagedata o:title=""/>
              <o:lock v:ext="edit" aspectratio="f"/>
              <v:textbox inset="16pt,0mm,16pt,0mm" style="mso-fit-shape-to-text:t;">
                <w:txbxContent>
                  <w:p>
                    <w:pPr>
                      <w:pStyle w:val="15"/>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evenAndOddHeaders w:val="1"/>
  <w:drawingGridHorizontalSpacing w:val="158"/>
  <w:drawingGridVerticalSpacing w:val="290"/>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03A1C"/>
    <w:rsid w:val="15104BF3"/>
    <w:rsid w:val="17A56B63"/>
    <w:rsid w:val="1EF91F99"/>
    <w:rsid w:val="2167303D"/>
    <w:rsid w:val="229A7474"/>
    <w:rsid w:val="29A739E3"/>
    <w:rsid w:val="329B2212"/>
    <w:rsid w:val="365657A0"/>
    <w:rsid w:val="3F6B0C7B"/>
    <w:rsid w:val="48870389"/>
    <w:rsid w:val="4F7F99CF"/>
    <w:rsid w:val="530D3C88"/>
    <w:rsid w:val="55E53EBA"/>
    <w:rsid w:val="57D850B1"/>
    <w:rsid w:val="5FA87BE6"/>
    <w:rsid w:val="662C0CD7"/>
    <w:rsid w:val="6B7C465A"/>
    <w:rsid w:val="6F4436E1"/>
    <w:rsid w:val="6FFE1AB5"/>
    <w:rsid w:val="E97F6E33"/>
    <w:rsid w:val="F2350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next w:val="1"/>
    <w:qFormat/>
    <w:uiPriority w:val="0"/>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6">
    <w:name w:val="heading 2"/>
    <w:next w:val="1"/>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paragraph" w:styleId="7">
    <w:name w:val="heading 3"/>
    <w:next w:val="1"/>
    <w:link w:val="24"/>
    <w:semiHidden/>
    <w:unhideWhenUsed/>
    <w:qFormat/>
    <w:uiPriority w:val="0"/>
    <w:pPr>
      <w:keepNext/>
      <w:keepLines/>
      <w:spacing w:beforeLines="0" w:beforeAutospacing="0" w:afterLines="0" w:afterAutospacing="0" w:line="560" w:lineRule="exact"/>
      <w:ind w:firstLine="894" w:firstLineChars="200"/>
      <w:outlineLvl w:val="2"/>
    </w:pPr>
    <w:rPr>
      <w:rFonts w:ascii="Times New Roman" w:hAnsi="Times New Roman" w:eastAsia="仿宋_GB2312" w:cs="仿宋_GB2312"/>
      <w:sz w:val="32"/>
      <w:szCs w:val="32"/>
    </w:rPr>
  </w:style>
  <w:style w:type="paragraph" w:styleId="8">
    <w:name w:val="heading 4"/>
    <w:next w:val="1"/>
    <w:semiHidden/>
    <w:unhideWhenUsed/>
    <w:qFormat/>
    <w:uiPriority w:val="0"/>
    <w:pPr>
      <w:keepNext/>
      <w:keepLines/>
      <w:spacing w:beforeLines="0" w:beforeAutospacing="0" w:afterLines="0" w:afterAutospacing="0" w:line="560" w:lineRule="exact"/>
      <w:ind w:firstLine="894" w:firstLineChars="200"/>
      <w:outlineLvl w:val="3"/>
    </w:pPr>
    <w:rPr>
      <w:rFonts w:ascii="Times New Roman" w:hAnsi="Times New Roman" w:eastAsia="仿宋_GB2312" w:cs="仿宋_GB2312"/>
      <w:sz w:val="32"/>
      <w:szCs w:val="32"/>
    </w:rPr>
  </w:style>
  <w:style w:type="paragraph" w:styleId="9">
    <w:name w:val="heading 5"/>
    <w:next w:val="1"/>
    <w:semiHidden/>
    <w:unhideWhenUsed/>
    <w:qFormat/>
    <w:uiPriority w:val="0"/>
    <w:pPr>
      <w:spacing w:line="560" w:lineRule="exact"/>
      <w:ind w:firstLine="894" w:firstLineChars="200"/>
      <w:outlineLvl w:val="4"/>
    </w:pPr>
    <w:rPr>
      <w:rFonts w:ascii="Times New Roman" w:hAnsi="Times New Roman" w:eastAsia="仿宋_GB2312" w:cs="仿宋_GB2312"/>
      <w:sz w:val="32"/>
      <w:szCs w:val="32"/>
    </w:rPr>
  </w:style>
  <w:style w:type="paragraph" w:styleId="10">
    <w:name w:val="heading 6"/>
    <w:next w:val="1"/>
    <w:semiHidden/>
    <w:unhideWhenUsed/>
    <w:qFormat/>
    <w:uiPriority w:val="0"/>
    <w:pPr>
      <w:spacing w:line="560" w:lineRule="exact"/>
      <w:ind w:firstLine="894" w:firstLineChars="200"/>
      <w:outlineLvl w:val="5"/>
    </w:pPr>
    <w:rPr>
      <w:rFonts w:ascii="Times New Roman" w:hAnsi="Times New Roman" w:eastAsia="仿宋_GB2312" w:cs="仿宋_GB2312"/>
      <w:sz w:val="32"/>
      <w:szCs w:val="32"/>
    </w:rPr>
  </w:style>
  <w:style w:type="paragraph" w:styleId="11">
    <w:name w:val="heading 7"/>
    <w:next w:val="1"/>
    <w:semiHidden/>
    <w:unhideWhenUsed/>
    <w:qFormat/>
    <w:uiPriority w:val="0"/>
    <w:pPr>
      <w:spacing w:line="560" w:lineRule="exact"/>
      <w:ind w:firstLine="894" w:firstLineChars="200"/>
      <w:outlineLvl w:val="6"/>
    </w:pPr>
    <w:rPr>
      <w:rFonts w:ascii="Times New Roman" w:hAnsi="Times New Roman" w:eastAsia="仿宋_GB2312" w:cs="仿宋_GB2312"/>
      <w:sz w:val="32"/>
      <w:szCs w:val="32"/>
    </w:rPr>
  </w:style>
  <w:style w:type="paragraph" w:styleId="12">
    <w:name w:val="heading 8"/>
    <w:next w:val="1"/>
    <w:semiHidden/>
    <w:unhideWhenUsed/>
    <w:qFormat/>
    <w:uiPriority w:val="0"/>
    <w:pPr>
      <w:spacing w:line="560" w:lineRule="exact"/>
      <w:ind w:firstLine="894" w:firstLineChars="200"/>
      <w:outlineLvl w:val="7"/>
    </w:pPr>
    <w:rPr>
      <w:rFonts w:ascii="Times New Roman" w:hAnsi="Times New Roman" w:eastAsia="仿宋_GB2312" w:cs="仿宋_GB2312"/>
      <w:sz w:val="32"/>
      <w:szCs w:val="32"/>
    </w:rPr>
  </w:style>
  <w:style w:type="paragraph" w:styleId="13">
    <w:name w:val="heading 9"/>
    <w:next w:val="1"/>
    <w:semiHidden/>
    <w:unhideWhenUsed/>
    <w:qFormat/>
    <w:uiPriority w:val="0"/>
    <w:pPr>
      <w:spacing w:line="560" w:lineRule="exact"/>
      <w:ind w:firstLine="894" w:firstLineChars="200"/>
      <w:outlineLvl w:val="8"/>
    </w:pPr>
    <w:rPr>
      <w:rFonts w:ascii="Times New Roman" w:hAnsi="Times New Roman" w:eastAsia="仿宋_GB2312" w:cs="仿宋_GB2312"/>
      <w:sz w:val="32"/>
      <w:szCs w:val="32"/>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rFonts w:ascii="Times New Roman"/>
    </w:rPr>
  </w:style>
  <w:style w:type="paragraph" w:styleId="3">
    <w:name w:val="Body Text Indent"/>
    <w:basedOn w:val="1"/>
    <w:next w:val="4"/>
    <w:unhideWhenUsed/>
    <w:qFormat/>
    <w:uiPriority w:val="99"/>
    <w:pPr>
      <w:ind w:left="420" w:leftChars="200"/>
    </w:pPr>
  </w:style>
  <w:style w:type="paragraph" w:customStyle="1" w:styleId="4">
    <w:name w:val="样式 正文文本缩进 + 左侧:  2 字符"/>
    <w:qFormat/>
    <w:uiPriority w:val="0"/>
    <w:pPr>
      <w:widowControl w:val="0"/>
      <w:suppressAutoHyphens/>
      <w:spacing w:line="360" w:lineRule="auto"/>
      <w:ind w:firstLine="200"/>
      <w:jc w:val="both"/>
    </w:pPr>
    <w:rPr>
      <w:rFonts w:ascii="宋体" w:hAnsi="宋体" w:eastAsia="宋体" w:cs="宋体"/>
      <w:kern w:val="1"/>
      <w:sz w:val="21"/>
      <w:lang w:val="en-US" w:eastAsia="zh-CN" w:bidi="ar-SA"/>
    </w:rPr>
  </w:style>
  <w:style w:type="paragraph" w:styleId="14">
    <w:name w:val="Body Text"/>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Subtitle"/>
    <w:qFormat/>
    <w:uiPriority w:val="0"/>
    <w:pPr>
      <w:spacing w:beforeLines="0" w:beforeAutospacing="0" w:afterLines="0" w:afterAutospacing="0" w:line="720" w:lineRule="exact"/>
      <w:jc w:val="center"/>
      <w:outlineLvl w:val="9"/>
    </w:pPr>
    <w:rPr>
      <w:rFonts w:ascii="Times New Roman" w:hAnsi="Times New Roman" w:eastAsia="仿宋_GB2312" w:cs="仿宋_GB2312"/>
      <w:kern w:val="28"/>
      <w:sz w:val="32"/>
      <w:szCs w:val="32"/>
    </w:rPr>
  </w:style>
  <w:style w:type="paragraph" w:styleId="18">
    <w:name w:val="Normal (Web)"/>
    <w:basedOn w:val="1"/>
    <w:qFormat/>
    <w:uiPriority w:val="0"/>
    <w:rPr>
      <w:sz w:val="24"/>
    </w:rPr>
  </w:style>
  <w:style w:type="paragraph" w:styleId="19">
    <w:name w:val="Title"/>
    <w:qFormat/>
    <w:uiPriority w:val="0"/>
    <w:pPr>
      <w:spacing w:line="720" w:lineRule="exact"/>
      <w:jc w:val="center"/>
      <w:outlineLvl w:val="9"/>
    </w:pPr>
    <w:rPr>
      <w:rFonts w:ascii="方正小标宋简体" w:hAnsi="方正小标宋简体" w:eastAsia="方正小标宋简体" w:cs="方正小标宋简体"/>
      <w:sz w:val="44"/>
      <w:szCs w:val="44"/>
    </w:rPr>
  </w:style>
  <w:style w:type="character" w:styleId="22">
    <w:name w:val="Strong"/>
    <w:basedOn w:val="21"/>
    <w:qFormat/>
    <w:uiPriority w:val="0"/>
    <w:rPr>
      <w:b/>
    </w:rPr>
  </w:style>
  <w:style w:type="paragraph" w:customStyle="1" w:styleId="23">
    <w:name w:val="附录标题"/>
    <w:next w:val="1"/>
    <w:qFormat/>
    <w:uiPriority w:val="0"/>
    <w:pPr>
      <w:overflowPunct w:val="0"/>
      <w:topLinePunct/>
      <w:spacing w:line="560" w:lineRule="exact"/>
      <w:jc w:val="left"/>
      <w:outlineLvl w:val="0"/>
    </w:pPr>
    <w:rPr>
      <w:rFonts w:ascii="黑体" w:hAnsi="黑体" w:eastAsia="黑体" w:cs="黑体"/>
      <w:sz w:val="32"/>
      <w:szCs w:val="32"/>
    </w:rPr>
  </w:style>
  <w:style w:type="character" w:customStyle="1" w:styleId="24">
    <w:name w:val="标题 3 Char"/>
    <w:link w:val="7"/>
    <w:qFormat/>
    <w:uiPriority w:val="0"/>
    <w:rPr>
      <w:rFonts w:ascii="Times New Roman" w:hAnsi="Times New Roman" w:eastAsia="仿宋_GB2312" w:cs="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4161</Words>
  <Characters>4283</Characters>
  <Lines>0</Lines>
  <Paragraphs>0</Paragraphs>
  <TotalTime>20</TotalTime>
  <ScaleCrop>false</ScaleCrop>
  <LinksUpToDate>false</LinksUpToDate>
  <CharactersWithSpaces>4298</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2026-04-29T01:53:00Z</dcterms:created>
  <dc:creator>Administrator</dc:creator>
  <cp:lastModifiedBy>gxxc</cp:lastModifiedBy>
  <dcterms:modified xsi:type="dcterms:W3CDTF">2026-05-11T16:42:40Z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KSOTemplateDocerSaveRecord">
    <vt:lpwstr>eyJoZGlkIjoiMjA0YWI3OWNjNDczMTAzYjFjNzc3MzkyOGU2YTRlOGMiLCJ1c2VySWQiOiI0MjAxNzg5MjgifQ==</vt:lpwstr>
  </property>
  <property fmtid="{D5CDD505-2E9C-101B-9397-08002B2CF9AE}" pid="4" name="ICV">
    <vt:lpwstr>E2EB653270894B048CEB61A2F37B7BAB_13</vt:lpwstr>
  </property>
</Properties>
</file>