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spacing w:line="560" w:lineRule="exact"/>
        <w:jc w:val="center"/>
        <w:outlineLvl w:val="3"/>
        <w:rPr>
          <w:rFonts w:ascii="方正小标宋简体" w:hAnsi="方正小标宋_GBK" w:eastAsia="方正小标宋简体" w:cs="方正小标宋_GBK"/>
          <w:color w:val="0D0D0D"/>
          <w:sz w:val="44"/>
          <w:szCs w:val="44"/>
        </w:rPr>
      </w:pPr>
      <w:r>
        <w:rPr>
          <w:rFonts w:hint="eastAsia" w:ascii="方正小标宋简体" w:hAnsi="方正小标宋_GBK" w:eastAsia="方正小标宋简体" w:cs="方正小标宋_GBK"/>
          <w:color w:val="0D0D0D"/>
          <w:sz w:val="44"/>
          <w:szCs w:val="44"/>
        </w:rPr>
        <w:t>人力资源社会保障部 工业和信息化部关于深化工程技术人才职称制度改革的指导意见</w:t>
      </w:r>
    </w:p>
    <w:p>
      <w:pPr>
        <w:widowControl/>
        <w:shd w:val="clear" w:color="auto"/>
        <w:spacing w:line="560" w:lineRule="exact"/>
        <w:jc w:val="left"/>
        <w:rPr>
          <w:rFonts w:ascii="方正小标宋简体" w:hAnsi="方正小标宋_GBK" w:eastAsia="方正小标宋简体" w:cs="方正小标宋_GBK"/>
          <w:color w:val="0D0D0D"/>
          <w:sz w:val="44"/>
          <w:szCs w:val="44"/>
        </w:rPr>
      </w:pPr>
    </w:p>
    <w:p>
      <w:pPr>
        <w:widowControl/>
        <w:shd w:val="clear" w:color="auto"/>
        <w:spacing w:line="560" w:lineRule="exact"/>
        <w:jc w:val="center"/>
        <w:rPr>
          <w:rFonts w:ascii="仿宋_GB2312" w:eastAsia="仿宋_GB2312" w:cs="宋体"/>
          <w:sz w:val="32"/>
          <w:szCs w:val="32"/>
        </w:rPr>
      </w:pPr>
      <w:r>
        <w:rPr>
          <w:rFonts w:hint="eastAsia" w:ascii="仿宋_GB2312" w:eastAsia="仿宋_GB2312" w:cs="宋体"/>
          <w:sz w:val="32"/>
          <w:szCs w:val="32"/>
        </w:rPr>
        <w:t>人社部发〔</w:t>
      </w:r>
      <w:r>
        <w:rPr>
          <w:rFonts w:ascii="仿宋_GB2312" w:eastAsia="仿宋_GB2312" w:cs="宋体"/>
          <w:sz w:val="32"/>
          <w:szCs w:val="32"/>
        </w:rPr>
        <w:t>2019〕16号</w:t>
      </w:r>
    </w:p>
    <w:p>
      <w:pPr>
        <w:widowControl/>
        <w:shd w:val="clear" w:color="auto"/>
        <w:spacing w:line="560" w:lineRule="exact"/>
        <w:jc w:val="left"/>
        <w:rPr>
          <w:rFonts w:ascii="方正小标宋简体" w:hAnsi="方正小标宋_GBK" w:eastAsia="方正小标宋简体" w:cs="方正小标宋_GBK"/>
          <w:color w:val="0D0D0D"/>
          <w:sz w:val="44"/>
          <w:szCs w:val="44"/>
        </w:rPr>
      </w:pP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各省、自治区、直辖市及新疆生产建设兵团人力资源社会保障厅（局）、工业和信息化主管部门，中央和国家机关各部委、各直属机构人事部门，各中央企业人事部门：</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工程技术人才是建设创新型国家和世界科技强国的重要力量。深化工程技术人才职称制度改革，对于提高我国原始创新能力、实现关键核心技术突破、促进产业结构优化升级具有重要意义。为贯彻落实中共中央办公厅、国务院办</w:t>
      </w:r>
      <w:bookmarkStart w:id="0" w:name="_GoBack"/>
      <w:bookmarkEnd w:id="0"/>
      <w:r>
        <w:rPr>
          <w:rFonts w:hint="eastAsia" w:ascii="仿宋_GB2312" w:eastAsia="仿宋_GB2312" w:cs="宋体"/>
          <w:sz w:val="32"/>
          <w:szCs w:val="32"/>
        </w:rPr>
        <w:t>公厅印发的《关于深化职称制度改革的意见》，现就深化工程技术人才职称制度改革提出如下指导意见。</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一、总体要求</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（一）指导思想</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以习近平新时代中国特色社会主义思想为指导，全面贯彻落实党的十九大和十九届二中、三中全会精神，认真落实党中央、国务院决策部署，坚定实施人才强国战略、制造强国战略和创新驱动发展战略，遵循工程技术人才成长规律，健全符合工程技术人才职业特点的职称制度，激发工程技术人才创新潜能，培养造就素质优良、结构合理、充满活力的工程技术人才队伍，为提升我国自主创新能力、加快建设创新型国家和世界科技强国提供人才支撑。</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（二）基本原则</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1.坚持服务发展。围绕经济发展方式转变、产业结构调整要求，发挥人才评价“指挥棒”和风向标作用，激发工程技术人才创新创造活力，提升关键领域核心技术攻关能力，推动经济高质量发展。</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2.坚持遵循规律。遵循工程技术人才成长规律和不同发展阶段职业特点，建立科学分类、合理多元的评价体系，强化责任意识、弘扬科学精神，减少急功近利、浮夸张扬，营造潜心研究、追求卓越的制度环境。</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3.坚持科学评价。以职业分类为基础，以品德、能力、业绩为导向，分类制定评价标准，破除唯学历、唯资历、唯论文、唯奖项倾向，突出技术性、实践性和创新性，鼓励工程技术人才多出原创性高水平成果。</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4.坚持开放创新。立足我国工程技术人才队伍建设实际，充分借鉴国外人才评价创新做法，积极推动工程技术人才国际交流与合作，提高工程技术人才的专业化、职业化、国际化水平。</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二、主要内容</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通过健全制度体系、完善评价标准、创新评价机制、与人才培养使用相衔接、加强事中事后监管、优化公共服务等措施，形成设置合理、覆盖全面、评价科学、管理规范的工程技术人才职称制度。</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（一）健全制度体系</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1.增设正高级工程师，高级职称分设副高级和正高级，初级职称分设员级和助理级。员级、助理级、中级、副高级和正高级职称名称依次为技术员、助理工程师、工程师、高级工程师和正高级工程师。</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2.建立专业设置动态调整机制。各地、各有关部门可围绕国家重大战略任务和未来产业发展方向，聚焦新技术、新工艺、新装备、新材料等战略性新兴产业，对工程系列相关评审专业进行动态调整，促进专业设置与国家战略需求和产业发展同步。</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3.实现职称制度与职业资格制度有效衔接。工程技术领域实行职业资格考试的专业，不再开展相应层级的职称评审。工程技术人才取得的工程领域职业资格，可对应相应层级的职称，并可作为申报高一级职称的条件。职业资格分级设置的，其初级（二级）、中级（一级）、高级分别对应职称的初级、中级、高级，未分级设置的一般对应中级职称，国家另有规定的除外。</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4.打通高技能人才与工程技术人才职业发展通道。按照两类人才贯通条件大体平衡、适当向高技能人才倾斜的原则，搭建高技能人才与工程技术人才成长立交桥。在工程技术领域生产一线岗位，从事技术技能工作的高技能人才，具有高级工以上职业资格或职业技能等级，符合工程技术人才职称评价基本标准条件，可参加工程系列职称评审。专业技术人才参加职业技能评价，可免于理论知识考试，注重技能水平考核，合格后取得相应技能人员职业资格证书或职业技能等级证书。</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5.工程技术人才各层级职称分别与事业单位专业技术岗位等级相对应。正高级对应专业技术岗位一至四级，副高级对应专业技术岗位五至七级，中级对应专业技术岗位八至十级，助理级对应专业技术岗位十一至十二级，员级对应专业技术岗位十三级。</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（二）完善评价标准</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1.坚持德才兼备、以德为先。坚持把品德放在工程技术人才评价的首位，重点考察工程技术人才的职业道德。用人单位可通过个人述职、考核测评、民意调查等方式综合考察工程技术人才的职业操守和从业行为。对剽窃他人技术成果或伪造试验数据等学术不端行为，实行“一票否决制”，并向社会公开。对通过弄虚作假、暗箱操作等违纪违规行为取得的职称，一律予以撤销。</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2.突出评价能力和业绩。适应工程技术专业化、标准化程度高的特点，分专业领域完善工程技术人才评价标准。通用性强、适用范围广的专业评价标准由国家统一发布。重点评价工程技术人才发明创造、技术推广应用、工程项目设计、工艺流程标准开发、产品质量提升、科技成果转化等方面的能力，引导工程技术人才解决工程技术难题、实现现代工程技术突破。着力解决工程技术领域评价标准过于学术化问题，专利成果、技术报告、软课题研究报告、规划设计方案、施工或调试报告、工程试验报告、标准规范制定、行业工法等均可作为业绩成果。科学对待论文、论著等研究成果，科学引文索引、核心期刊论文发表数量、论文引用榜单和影响因子排名等仅作为评价参考，重大原创性研究成果可“一票决定”。外语和计算机应用能力不作统一要求，由用人单位或评审机构根据需要自主确定。</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3.实行国家标准、地区标准和单位标准相结合。人力资源社会保障部会同工业和信息化部等有关行业主管部门研究制定《工程技术人才职称评价基本标准条件》（附后）。各地区可根据本地区经济社会发展情况，制定地区标准。具有自主评审权的用人单位可结合本单位实际，制定单位标准。地区标准和单位标准不得低于国家标准。支持龙头企业、行业协会学会等参与制定评价标准。</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（三）创新评价机制</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1.改进评价方式。建立以同行专家评议为基础的业内评价机制，注重社会和业内认可。综合采用考试、评审、考核认定、个人述职、面试答辩、实践操作、业绩展示等多种评价方式，提高职称评价的针对性和科学性。为涉密领域工程技术人才开辟特殊通道，采取特殊评价办法。对在艰苦边远地区和基层一线工作的工程技术人才，可以采取“定向评价、定向使用”的方式，重点考察其实际工作业绩，适当放宽学历、科研能力要求。</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2.畅通评价渠道。非公有制领域工程技术人才一般按照属地原则申报职称评审。各地人力资源社会保障部门和有关行业主管部门要通过驻厂设点、建立代办机构、入驻办事大厅等方式建立兜底机制，确保非公有制领域工程技术人才平等参与职称评审。要积极依托具备条件的行业协会、专业学会、公共人才服务机构等，为非公有制经济组织、社会组织和新兴职业领域工程技术人才提供职称评价服务。</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3.建立绿色通道。鼓励工程技术人才围绕国家重大战略和社会需求，潜心研究、攻坚克难，提高关键环节和重点领域创新能力。在信息、制造、能源、材料等领域突破关键核心技术、作出重大贡献的工程技术人才，可直接申报评审正高级工程师职称。对引进的海外高层次人才和急需紧缺人才，进一步打破条条框框的限制，引入国际同行评价，建立职称评审绿色通道。</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（四）与人才培养使用相衔接</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1.促进职称制度与人才培养制度有效衔接。推动工程技术人才职称制度与工程类专业学位研究生教育有效衔接，获得工程类专业学位的工程技术人才，可提前1年参加相应专业职称评审，探索在相应职业资格考试中缩短工作年限要求或免试部分考试科目。结合工程技术领域人才需求和职业标准，提高工程教育质量，加快重点行业、重要专业人才培养。强化协同育人理念，充分发挥企业等用人单位的重要作用，通过校企合作办学等方式，促进评价标准与培养标准深度融合。工程技术人才应按规定参加继续教育，不断提高创新能力和专业水平。</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2.实现职称制度与用人制度有效衔接。全面实行岗位管理、工程技术人才素质与岗位职责密切相关的事业单位，一般应在岗位结构比例内开展职称评审，聘用具有相应职称的工程技术人才到相应岗位。不实行事业单位岗位管理的用人单位，可根据工作需要，择优聘任具有相应职称的工程技术人才从事相关岗位工作。健全考核制度，加强聘后管理，在岗位聘用中实现人员能上能下。</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（五）加强事中事后监管</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1.建立健全各级职称评审委员会。坚持职称评审委员会核准备案制度，完善职称评审委员会工作程序和评审规则。加强职称评审委员会评价能力建设，建立评审专家动态管理机制，注重遴选能力业绩突出、声望较高的同行专家和活跃在生产一线的工程技术人才担任评委。严肃评审工作纪律，对违反评审纪律的评审专家，应及时取消评审专家资格，列入“黑名单”。各省（自治区、直辖市）、国务院有关部门、中央企业可按规定成立工程系列高级职称评审委员会。国务院有关部门和中央企业成立的高级职称评审委员会报人力资源社会保障部核准备案，其他高级职称评审委员会报省级人力资源社会保障部门核准备案。</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2.下放职称评审权限。科学界定、合理下放职称评审权限，逐步将工程系列高级职称评审权下放到工程技术人才密集、技术水平高的大型企业、事业单位。自主评审单位组建的高级职称评审委员会应当按照管理权限报省级以上人力资源社会保障部门核准备案。自主评审结果报相应人力资源社会保障部门备案。各级人力资源社会保障部门要做好职称评审结果的统计和查询验证工作。</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3.转变监督管理方式。要建立职称评审随机抽查、巡查制度，加强对职称评审全过程的监督管理，强化单位自律和外部监督。畅通意见反映渠道，对群众反映或舆情反映较强烈的问题，有针对性地进行专项核查，及时妥善处理。因评审工作把关不严、程序不规范，造成投诉较多、争议较大的，要责令限期整改；对整改无明显改善或逾期不予整改的，暂停其评审工作直至收回评审权，并追究责任。</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（六）优化公共服务</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1.健全公共服务体系。推行个人诚信承诺制度，精减申报材料，减少证明事项，优化审核、评审程序，减轻工程技术人才评审负担。加强项目评审、人才评价和机构评估等相关业务统筹，加大申报材料和业绩成果信息共享，实行材料一次报送、一表多用。加快推进职称评审信息化建设，探索实行网上申报、网上评审、网上查询验证。</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2.加强工程师资格国际互认。按照《华盛顿协议》框架规则，在健全完善工程教育专业认证基础上，在条件成熟的工程技术领域探索开展工程师资格国际互认。以国际工程联盟（IEA）、国际咨询工程师联合会（FIDIC）等国际组织为平台，主动参与国际工程师评价标准制定，加强工程技术人才国际交流。</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三、组织实施</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一）提高认识，加强领导。职称制度改革涉及广大工程技术人才的切身利益，各地区、各有关部门要充分认识改革的重要性、复杂性、敏感性，加强组织领导，狠抓工作落实，确保各项改革措施落到实处。各级人力资源社会保障部门会同工业和信息化等有关行业主管部门，具体负责工程技术人才职称制度改革的政策制定、组织实施和监督检查工作。各有关部门要密切配合，相互协调，确保改革各项工作顺利推进。</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二）精心组织，稳慎实施。各地区、各有关部门要根据本指导意见，紧密结合实际，抓紧制定具体实施方案和配套办法。在推进改革过程中，要深入开展调查研究，细化工作措施，完善工作预案，确保改革顺利进行。国家增设正高级工程师之前，各地自行试点评审的工程系列正高级职称，要按有关规定通过一定程序进行确认。在改革中要认真总结经验，及时解决改革中出现的新情况、新问题，妥善处理改革、发展和稳定的关系。</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三）加强宣传，营造环境。各地区、各有关部门要加强宣传引导，搞好政策解读，充分调动工程技术人才的积极性，引导工程技术人才积极支持和参与工程技术人才职称制度改革，营造有利于工程技术人才职称制度改革的良好氛围。</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本指导意见适用于机械、材料、冶金、电气、电子、信息通信、仪器仪表、能源动力、广播电视、控制工程、计算机、自动化、建设、土木、水利、测绘、气象、化工、地质、矿业、石油与天然气、纺织、轻工、交通运输、船舶与海洋、航空宇航、兵器、核工程、林业工程、城乡规划、风景园林、环境、生物、食品、安全、质量、计量、标准化等领域的工程技术人才。</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附件：工程技术人才职称评价基本标准条件</w:t>
      </w:r>
    </w:p>
    <w:p>
      <w:pPr>
        <w:widowControl/>
        <w:shd w:val="clear" w:color="auto"/>
        <w:spacing w:line="560" w:lineRule="exact"/>
        <w:ind w:firstLine="630"/>
        <w:jc w:val="left"/>
        <w:rPr>
          <w:rFonts w:ascii="仿宋_GB2312" w:eastAsia="仿宋_GB2312" w:cs="宋体"/>
          <w:sz w:val="32"/>
          <w:szCs w:val="32"/>
        </w:rPr>
      </w:pPr>
    </w:p>
    <w:p>
      <w:pPr>
        <w:widowControl/>
        <w:shd w:val="clear" w:color="auto"/>
        <w:spacing w:line="560" w:lineRule="exact"/>
        <w:ind w:firstLine="480"/>
        <w:jc w:val="center"/>
        <w:rPr>
          <w:rFonts w:ascii="仿宋_GB2312" w:eastAsia="仿宋_GB2312" w:cs="宋体"/>
          <w:sz w:val="32"/>
          <w:szCs w:val="32"/>
        </w:rPr>
      </w:pPr>
      <w:r>
        <w:rPr>
          <w:rFonts w:hint="eastAsia" w:ascii="仿宋_GB2312" w:eastAsia="仿宋_GB2312" w:cs="宋体"/>
          <w:sz w:val="32"/>
          <w:szCs w:val="32"/>
        </w:rPr>
        <w:t>                               人力资源社会保障部    工业和信息化部 </w:t>
      </w:r>
    </w:p>
    <w:p>
      <w:pPr>
        <w:widowControl/>
        <w:shd w:val="clear" w:color="auto"/>
        <w:spacing w:line="560" w:lineRule="exact"/>
        <w:ind w:firstLine="480"/>
        <w:jc w:val="center"/>
        <w:rPr>
          <w:rFonts w:ascii="仿宋_GB2312" w:eastAsia="仿宋_GB2312" w:cs="宋体"/>
          <w:sz w:val="32"/>
          <w:szCs w:val="32"/>
        </w:rPr>
      </w:pPr>
      <w:r>
        <w:rPr>
          <w:rFonts w:hint="eastAsia" w:ascii="仿宋_GB2312" w:eastAsia="仿宋_GB2312" w:cs="宋体"/>
          <w:sz w:val="32"/>
          <w:szCs w:val="32"/>
        </w:rPr>
        <w:t>                                                   2019年2月1日</w:t>
      </w:r>
    </w:p>
    <w:p>
      <w:pPr>
        <w:widowControl/>
        <w:shd w:val="clear" w:color="auto"/>
        <w:spacing w:line="560" w:lineRule="exact"/>
        <w:ind w:firstLine="480"/>
        <w:jc w:val="left"/>
        <w:rPr>
          <w:rFonts w:ascii="仿宋_GB2312" w:eastAsia="仿宋_GB2312" w:cs="宋体"/>
          <w:sz w:val="32"/>
          <w:szCs w:val="32"/>
        </w:rPr>
      </w:pPr>
      <w:r>
        <w:rPr>
          <w:rFonts w:hint="eastAsia" w:ascii="仿宋_GB2312" w:eastAsia="仿宋_GB2312" w:cs="宋体"/>
          <w:sz w:val="32"/>
          <w:szCs w:val="32"/>
        </w:rPr>
        <w:t> </w:t>
      </w:r>
    </w:p>
    <w:p>
      <w:pPr>
        <w:widowControl/>
        <w:shd w:val="clear" w:color="auto"/>
        <w:spacing w:line="560" w:lineRule="exact"/>
        <w:ind w:firstLine="630"/>
        <w:jc w:val="left"/>
        <w:rPr>
          <w:rFonts w:ascii="仿宋_GB2312" w:eastAsia="仿宋_GB2312" w:cs="宋体"/>
          <w:sz w:val="32"/>
          <w:szCs w:val="32"/>
        </w:rPr>
      </w:pPr>
      <w:r>
        <w:rPr>
          <w:rFonts w:hint="eastAsia" w:ascii="仿宋_GB2312" w:eastAsia="仿宋_GB2312" w:cs="宋体"/>
          <w:sz w:val="32"/>
          <w:szCs w:val="32"/>
        </w:rPr>
        <w:t>附件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工程技术人才职称评价基本标准条件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一、遵守中华人民共和国宪法和法律法规。</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二、具有良好的职业道德、敬业精神，作风端正。</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三、热爱本职工作，认真履行岗位职责。</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四、按照要求参加继续教育。</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五、法律法规规定需取得职业资格的，应具备相应职业资格。</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六、工程技术人才申报各层级职称，除必须达到上述基本条件外，还应分别具备以下条件：</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（一）技术员</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1.熟悉本专业的基础理论知识和专业技术知识。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2.具有完成一般技术辅助性工作的实际能力。</w:t>
      </w:r>
    </w:p>
    <w:p>
      <w:pPr>
        <w:widowControl/>
        <w:shd w:val="clear" w:color="auto"/>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3.具备大学本科学历或学士学位；或具备大学专科、中等职业学校毕业学历，在工程技术岗位上见习1年期满，经考察合格。技工院校毕业生按国家有关规定申报。</w:t>
      </w:r>
    </w:p>
    <w:p>
      <w:pPr>
        <w:widowControl/>
        <w:shd w:val="clear" w:color="auto"/>
        <w:spacing w:line="560" w:lineRule="exact"/>
        <w:ind w:firstLine="660"/>
        <w:jc w:val="left"/>
        <w:rPr>
          <w:rFonts w:ascii="仿宋_GB2312" w:eastAsia="仿宋_GB2312" w:cs="宋体"/>
          <w:sz w:val="32"/>
          <w:szCs w:val="32"/>
        </w:rPr>
      </w:pPr>
      <w:r>
        <w:rPr>
          <w:rFonts w:hint="eastAsia" w:ascii="仿宋_GB2312" w:eastAsia="仿宋_GB2312" w:cs="宋体"/>
          <w:sz w:val="32"/>
          <w:szCs w:val="32"/>
        </w:rPr>
        <w:t>（二）助理工程师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1.掌握本专业的基础理论知识和专业技术知识。</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2.具有独立完成一般性技术工作的实际能力，能处理本专业范围内一般性技术难题。</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3.具有指导技术员工作的能力。</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4.具备硕士学位或第二学士学位；或具备大学本科学历或学士学位，在工程技术岗位见习1年期满，经考察合格；或具备大学专科学历，取得技术员职称后，从事技术工作满2年；或具备中等职业学校毕业学历，取得技术员职称后，从事技术工作满4年。技工院校毕业生按国家有关规定申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（三）工程师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1.熟练掌握并能够灵活运用本专业基础理论知识和专业技术知识，熟悉本专业技术标准和规程，了解本专业新技术、新工艺、新设备、新材料的现状和发展趋势，取得有实用价值的技术成果。</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2.具有独立承担较复杂工程项目的工作能力，能解决本专业范围内较复杂的工程问题。</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3.具有一定的技术研究能力，能够撰写为解决复杂技术问题的研究成果或技术报告。</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4.具有指导助理工程师工作的能力。</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5.具备博士学位；或具备硕士学位或第二学士学位，取得助理工程师职称后，从事技术工作满2年；或具备大学本科学历或学士学位，取得助理工程师职称后，从事技术工作满4年；或具备大学专科学历，取得助理工程师职称后，从事技术工作满4年。技工院校毕业生按国家有关规定申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（四）高级工程师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1.系统掌握专业基础理论知识和专业技术知识，具有跟踪本专业科技发展前沿水平的能力，熟练运用本专业技术标准和规程，在相关领域取得重要成果。</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2.长期从事本专业工作，业绩突出，能够独立主持和建设重大工程项目，能够解决复杂工程问题，取得了较高的经济效益和社会效益。</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3.取得工程师职称后，业绩、成果要求符合下列条件之一：</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（1）主持或承担研制开发的新产品、新材料、新设备、新工艺等已投入生产，可比性技术经济指标处于国内较高水平；</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（2）作为主要发明人，获得具有较高经济和社会效益的发明专利；</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（3）参与的重点项目技术报告，经同行专家评议具有较高技术水平，技术论证有深度，调研、设计、测试数据齐全、准确；</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（4）发表的本领域研究成果，受到同行专家认可；</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（5）作为主要参编者，参与完成省部级以上行业技术标准或技术规范的编写。</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4.在指导、培养中青年学术技术骨干方面发挥重要作用，能够指导工程师或研究生的工作和学习。</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5.具备博士学位，取得工程师职称后，从事技术工作满2年；或具备硕士学位，或第二学士学位，或大学本科学历，或学士学位，取得工程师职称后，从事技术工作满5年。技工院校毕业生按国家有关规定申报。</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6.不具备前项规定的学历、年限要求，业绩突出、作出重要贡献的，可由2名本专业或相近专业正高级工程师推荐破格申报，具体办法由各地、各有关部门和单位另行制定。</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（五）正高级工程师</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1.具有全面系统的专业理论和实践功底，科研水平、学术造诣或科学实践能力强，全面掌握本专业国内外前沿发展动态，具有引领本专业科技发展前沿水平的能力，取得重大理论研究成果和关键技术突破，或在相关领域取得创新性研究成果，推动了本专业发展。  </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2.长期从事本专业工作，业绩突出，能够主持完成本专业领域重大项目，能够解决重大技术问题或掌握关键核心技术，取得了显著的经济效益和社会效益。</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3.在本专业领域具有较高的知名度和影响力，在突破关键核心技术和自主创新方面作出突出贡献，发挥了较强的引领和示范作用。</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4.取得高级工程师职称后，业绩、成果要求符合下列条件之一：</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（1）主持研制开发的新产品、新材料、新设备、新工艺等已投入生产，可比性技术经济指标处于国内领先水平；</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（2）作为第一发明人，获得具有显著经济和社会效益的发明专利；</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（3）承担的重点项目技术报告，经同行专家评议具有国内领先水平，技术论证有深度，调研、设计、测试数据齐全、准确；</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（4）发表的本领域研究成果，经同行专家评议具有较高学术价值；</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（5）作为第一起草人，主持完成省部级以上行业技术标准或技术规范的编写。</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5.在指导、培养中青年学术技术骨干方面作出突出贡献，能够有效指导高级工程师或研究生的工作和学习。</w:t>
      </w:r>
    </w:p>
    <w:p>
      <w:pPr>
        <w:widowControl/>
        <w:shd w:val="clear" w:color="auto"/>
        <w:spacing w:line="560" w:lineRule="exact"/>
        <w:jc w:val="left"/>
        <w:rPr>
          <w:rFonts w:ascii="仿宋_GB2312" w:eastAsia="仿宋_GB2312" w:cs="宋体"/>
          <w:sz w:val="32"/>
          <w:szCs w:val="32"/>
        </w:rPr>
      </w:pPr>
      <w:r>
        <w:rPr>
          <w:rFonts w:hint="eastAsia" w:ascii="仿宋_GB2312" w:eastAsia="仿宋_GB2312" w:cs="宋体"/>
          <w:sz w:val="32"/>
          <w:szCs w:val="32"/>
        </w:rPr>
        <w:t xml:space="preserve">    6.一般应具备大学本科及以上学历或学士以上学位，取得高级工程师职称后，从事技术工作满5年。技工院校毕业生按国家有关规定申报。</w:t>
      </w:r>
    </w:p>
    <w:p>
      <w:pPr>
        <w:shd w:val="clear"/>
      </w:pPr>
    </w:p>
    <w:sectPr>
      <w:pgSz w:w="11906" w:h="16838"/>
      <w:pgMar w:top="1440" w:right="1474" w:bottom="1440"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等线">
    <w:altName w:val="宋体"/>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等线">
    <w:altName w:val="汉仪仿宋S"/>
    <w:panose1 w:val="00000000000000000000"/>
    <w:charset w:val="00"/>
    <w:family w:val="auto"/>
    <w:pitch w:val="default"/>
    <w:sig w:usb0="00000000" w:usb1="00000000" w:usb2="00000000" w:usb3="00000000" w:csb0="00000000" w:csb1="00000000"/>
  </w:font>
  <w:font w:name="汉仪仿宋S">
    <w:panose1 w:val="00020600040101000101"/>
    <w:charset w:val="86"/>
    <w:family w:val="auto"/>
    <w:pitch w:val="default"/>
    <w:sig w:usb0="A00002BF" w:usb1="38CF7CFA" w:usb2="00000016" w:usb3="00000000" w:csb0="0004009F" w:csb1="0000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65337"/>
    <w:rsid w:val="00000E24"/>
    <w:rsid w:val="00003824"/>
    <w:rsid w:val="000274BB"/>
    <w:rsid w:val="00037E8F"/>
    <w:rsid w:val="00057A5F"/>
    <w:rsid w:val="00060226"/>
    <w:rsid w:val="00067BD3"/>
    <w:rsid w:val="0007444B"/>
    <w:rsid w:val="00080A86"/>
    <w:rsid w:val="000817CD"/>
    <w:rsid w:val="00091820"/>
    <w:rsid w:val="00096836"/>
    <w:rsid w:val="000A3129"/>
    <w:rsid w:val="000B30EC"/>
    <w:rsid w:val="000C068F"/>
    <w:rsid w:val="000C358D"/>
    <w:rsid w:val="000C689D"/>
    <w:rsid w:val="000D6BBC"/>
    <w:rsid w:val="000E0EA4"/>
    <w:rsid w:val="00137E2F"/>
    <w:rsid w:val="00161DEE"/>
    <w:rsid w:val="001964AC"/>
    <w:rsid w:val="001B2D1B"/>
    <w:rsid w:val="001F481B"/>
    <w:rsid w:val="00203E25"/>
    <w:rsid w:val="00214ED0"/>
    <w:rsid w:val="00226EBD"/>
    <w:rsid w:val="00227FB3"/>
    <w:rsid w:val="002315AD"/>
    <w:rsid w:val="00247F9E"/>
    <w:rsid w:val="002562B0"/>
    <w:rsid w:val="00266A02"/>
    <w:rsid w:val="00285DDD"/>
    <w:rsid w:val="00286A78"/>
    <w:rsid w:val="00291734"/>
    <w:rsid w:val="002A4B4E"/>
    <w:rsid w:val="002B0BF0"/>
    <w:rsid w:val="002C079C"/>
    <w:rsid w:val="002D4EC7"/>
    <w:rsid w:val="002E2751"/>
    <w:rsid w:val="002F4F9D"/>
    <w:rsid w:val="002F5BF8"/>
    <w:rsid w:val="002F6E5C"/>
    <w:rsid w:val="00324BA7"/>
    <w:rsid w:val="00345560"/>
    <w:rsid w:val="0035060F"/>
    <w:rsid w:val="00353501"/>
    <w:rsid w:val="00364CAA"/>
    <w:rsid w:val="00377069"/>
    <w:rsid w:val="00381E76"/>
    <w:rsid w:val="003860C9"/>
    <w:rsid w:val="003879D9"/>
    <w:rsid w:val="003A5CCA"/>
    <w:rsid w:val="003C777D"/>
    <w:rsid w:val="003F5B7F"/>
    <w:rsid w:val="00402497"/>
    <w:rsid w:val="004026F4"/>
    <w:rsid w:val="00403449"/>
    <w:rsid w:val="00437A21"/>
    <w:rsid w:val="004454E0"/>
    <w:rsid w:val="004473E2"/>
    <w:rsid w:val="00447C97"/>
    <w:rsid w:val="00460F21"/>
    <w:rsid w:val="00494023"/>
    <w:rsid w:val="004A2FD3"/>
    <w:rsid w:val="004B502A"/>
    <w:rsid w:val="004D7B9B"/>
    <w:rsid w:val="00502C3F"/>
    <w:rsid w:val="00505E81"/>
    <w:rsid w:val="0052309B"/>
    <w:rsid w:val="00530AC4"/>
    <w:rsid w:val="00535D66"/>
    <w:rsid w:val="0058590C"/>
    <w:rsid w:val="005A2C86"/>
    <w:rsid w:val="005A347C"/>
    <w:rsid w:val="005C0A99"/>
    <w:rsid w:val="005C51C2"/>
    <w:rsid w:val="005D288A"/>
    <w:rsid w:val="005F56B8"/>
    <w:rsid w:val="00611295"/>
    <w:rsid w:val="00612E94"/>
    <w:rsid w:val="00630009"/>
    <w:rsid w:val="0063149B"/>
    <w:rsid w:val="00632E4D"/>
    <w:rsid w:val="00645850"/>
    <w:rsid w:val="00656487"/>
    <w:rsid w:val="00662C7E"/>
    <w:rsid w:val="00670C10"/>
    <w:rsid w:val="006755BB"/>
    <w:rsid w:val="0069316D"/>
    <w:rsid w:val="006B5AAA"/>
    <w:rsid w:val="006B6253"/>
    <w:rsid w:val="006D5153"/>
    <w:rsid w:val="006D5F65"/>
    <w:rsid w:val="006D7C73"/>
    <w:rsid w:val="006E5E07"/>
    <w:rsid w:val="006F4D25"/>
    <w:rsid w:val="00706395"/>
    <w:rsid w:val="00720C19"/>
    <w:rsid w:val="00723476"/>
    <w:rsid w:val="00733D90"/>
    <w:rsid w:val="00733FD9"/>
    <w:rsid w:val="00757B31"/>
    <w:rsid w:val="0076494F"/>
    <w:rsid w:val="00764F97"/>
    <w:rsid w:val="00765337"/>
    <w:rsid w:val="0078195B"/>
    <w:rsid w:val="007A7333"/>
    <w:rsid w:val="007B3201"/>
    <w:rsid w:val="008048A5"/>
    <w:rsid w:val="00822D19"/>
    <w:rsid w:val="00827464"/>
    <w:rsid w:val="00830D12"/>
    <w:rsid w:val="008430DE"/>
    <w:rsid w:val="00857B0F"/>
    <w:rsid w:val="00870F36"/>
    <w:rsid w:val="0087773C"/>
    <w:rsid w:val="008806AF"/>
    <w:rsid w:val="0088588B"/>
    <w:rsid w:val="008946FB"/>
    <w:rsid w:val="00896EA5"/>
    <w:rsid w:val="008B0026"/>
    <w:rsid w:val="008B0E55"/>
    <w:rsid w:val="008E16B5"/>
    <w:rsid w:val="008E4C23"/>
    <w:rsid w:val="00916040"/>
    <w:rsid w:val="00926F7A"/>
    <w:rsid w:val="00935A6F"/>
    <w:rsid w:val="00937BBD"/>
    <w:rsid w:val="009534E7"/>
    <w:rsid w:val="0095782E"/>
    <w:rsid w:val="00960550"/>
    <w:rsid w:val="00990BC9"/>
    <w:rsid w:val="009A312A"/>
    <w:rsid w:val="009A4ED7"/>
    <w:rsid w:val="009B27CC"/>
    <w:rsid w:val="009B52A3"/>
    <w:rsid w:val="00A40E23"/>
    <w:rsid w:val="00A615C9"/>
    <w:rsid w:val="00A70813"/>
    <w:rsid w:val="00A72522"/>
    <w:rsid w:val="00A73117"/>
    <w:rsid w:val="00A82A96"/>
    <w:rsid w:val="00AA22B5"/>
    <w:rsid w:val="00AA54D5"/>
    <w:rsid w:val="00AB1988"/>
    <w:rsid w:val="00AB19EE"/>
    <w:rsid w:val="00AE2F7C"/>
    <w:rsid w:val="00AE5FDF"/>
    <w:rsid w:val="00AF7091"/>
    <w:rsid w:val="00B034AF"/>
    <w:rsid w:val="00B03C00"/>
    <w:rsid w:val="00B12ED0"/>
    <w:rsid w:val="00B17B5A"/>
    <w:rsid w:val="00B404A6"/>
    <w:rsid w:val="00B433BF"/>
    <w:rsid w:val="00B71205"/>
    <w:rsid w:val="00B72F5E"/>
    <w:rsid w:val="00B87603"/>
    <w:rsid w:val="00BB4943"/>
    <w:rsid w:val="00BD0FBC"/>
    <w:rsid w:val="00BD5984"/>
    <w:rsid w:val="00BD7F18"/>
    <w:rsid w:val="00BF1882"/>
    <w:rsid w:val="00C14713"/>
    <w:rsid w:val="00C214FA"/>
    <w:rsid w:val="00C338AF"/>
    <w:rsid w:val="00C54BA9"/>
    <w:rsid w:val="00C55FBE"/>
    <w:rsid w:val="00C65562"/>
    <w:rsid w:val="00C818FE"/>
    <w:rsid w:val="00C820BA"/>
    <w:rsid w:val="00C854E4"/>
    <w:rsid w:val="00C86BFA"/>
    <w:rsid w:val="00CC1457"/>
    <w:rsid w:val="00CC5FBB"/>
    <w:rsid w:val="00CC6DAE"/>
    <w:rsid w:val="00CD33B2"/>
    <w:rsid w:val="00CF0E15"/>
    <w:rsid w:val="00CF1726"/>
    <w:rsid w:val="00CF22D2"/>
    <w:rsid w:val="00CF3345"/>
    <w:rsid w:val="00CF3DD1"/>
    <w:rsid w:val="00CF6932"/>
    <w:rsid w:val="00D3415A"/>
    <w:rsid w:val="00D36BF0"/>
    <w:rsid w:val="00D4078C"/>
    <w:rsid w:val="00D54650"/>
    <w:rsid w:val="00D906D9"/>
    <w:rsid w:val="00D971C9"/>
    <w:rsid w:val="00DA51B3"/>
    <w:rsid w:val="00DB2916"/>
    <w:rsid w:val="00DB442F"/>
    <w:rsid w:val="00DB4CA2"/>
    <w:rsid w:val="00DB56D0"/>
    <w:rsid w:val="00DE6835"/>
    <w:rsid w:val="00E037AA"/>
    <w:rsid w:val="00E05FD3"/>
    <w:rsid w:val="00E374A5"/>
    <w:rsid w:val="00E42272"/>
    <w:rsid w:val="00E511D3"/>
    <w:rsid w:val="00E61D48"/>
    <w:rsid w:val="00EA05B3"/>
    <w:rsid w:val="00EB783B"/>
    <w:rsid w:val="00EC014C"/>
    <w:rsid w:val="00EC1736"/>
    <w:rsid w:val="00EC6AD5"/>
    <w:rsid w:val="00EC6B9B"/>
    <w:rsid w:val="00EE2225"/>
    <w:rsid w:val="00EE7347"/>
    <w:rsid w:val="00F770D0"/>
    <w:rsid w:val="00F93F7D"/>
    <w:rsid w:val="00F97C5D"/>
    <w:rsid w:val="00FA704B"/>
    <w:rsid w:val="00FB4FD9"/>
    <w:rsid w:val="00FB743B"/>
    <w:rsid w:val="00FC240C"/>
    <w:rsid w:val="00FC26B2"/>
    <w:rsid w:val="00FD1BF9"/>
    <w:rsid w:val="00FD5198"/>
    <w:rsid w:val="FFE7CB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UQi.me</Company>
  <Pages>13</Pages>
  <Words>1082</Words>
  <Characters>6171</Characters>
  <Lines>51</Lines>
  <Paragraphs>14</Paragraphs>
  <TotalTime>0</TotalTime>
  <ScaleCrop>false</ScaleCrop>
  <LinksUpToDate>false</LinksUpToDate>
  <CharactersWithSpaces>7239</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2021-06-02T16:24:00Z</dcterms:created>
  <dc:creator>苏巧香</dc:creator>
  <cp:lastModifiedBy>gxxc</cp:lastModifiedBy>
  <dcterms:modified xsi:type="dcterms:W3CDTF">2023-06-16T15:44:33Z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